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9B" w:rsidRPr="0026279B" w:rsidRDefault="0026279B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9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0380" cy="750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6BD" w:rsidRPr="009A36BD" w:rsidRDefault="009A36BD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79B" w:rsidRPr="0026279B" w:rsidRDefault="0026279B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9B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6279B" w:rsidRPr="0026279B" w:rsidRDefault="0026279B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9B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279B" w:rsidRPr="0026279B" w:rsidRDefault="0026279B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9B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6279B" w:rsidRPr="0026279B" w:rsidRDefault="0026279B" w:rsidP="0077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9B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7711FB" w:rsidRDefault="007711FB" w:rsidP="007711F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1FB" w:rsidRPr="007711FB" w:rsidRDefault="00371ECC" w:rsidP="007711F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 xml:space="preserve"> заседание              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7711FB" w:rsidRPr="007711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53D29" w:rsidRPr="007711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7711FB" w:rsidRPr="007711FB" w:rsidRDefault="00371ECC" w:rsidP="007711F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18.11.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>20</w:t>
      </w:r>
      <w:r w:rsidR="00653D29">
        <w:rPr>
          <w:rFonts w:ascii="Times New Roman" w:hAnsi="Times New Roman" w:cs="Times New Roman"/>
          <w:b/>
          <w:sz w:val="28"/>
          <w:szCs w:val="28"/>
        </w:rPr>
        <w:t>20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ab/>
      </w:r>
      <w:r w:rsidR="007711FB" w:rsidRPr="007711F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371ECC" w:rsidRDefault="00371ECC" w:rsidP="007711F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2" w:rsidRDefault="004219F2" w:rsidP="007711F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71ECC">
        <w:rPr>
          <w:rFonts w:ascii="Times New Roman" w:hAnsi="Times New Roman" w:cs="Times New Roman"/>
          <w:b/>
          <w:sz w:val="28"/>
          <w:szCs w:val="28"/>
        </w:rPr>
        <w:t>19</w:t>
      </w:r>
    </w:p>
    <w:p w:rsidR="004219F2" w:rsidRDefault="004219F2" w:rsidP="007711F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2" w:rsidRDefault="004219F2" w:rsidP="007711FB">
      <w:pPr>
        <w:tabs>
          <w:tab w:val="left" w:pos="2880"/>
          <w:tab w:val="left" w:pos="5954"/>
        </w:tabs>
        <w:spacing w:after="0" w:line="240" w:lineRule="auto"/>
        <w:ind w:right="3542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 xml:space="preserve">О ежегодном отчете главы муниципального образования </w:t>
      </w:r>
      <w:proofErr w:type="spellStart"/>
      <w:r w:rsidRPr="005B293E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городской округ Оренбургской области о результатах своей деятельности, деятельности</w:t>
      </w:r>
      <w:r w:rsidR="00771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5B293E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городского округа,</w:t>
      </w:r>
      <w:r w:rsidR="00771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b/>
          <w:sz w:val="28"/>
          <w:szCs w:val="28"/>
        </w:rPr>
        <w:t>в том числе о решении вопросов, поставленных</w:t>
      </w:r>
      <w:r w:rsidR="00771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b/>
          <w:sz w:val="28"/>
          <w:szCs w:val="28"/>
        </w:rPr>
        <w:t>Советом депутатов за 201</w:t>
      </w:r>
      <w:r w:rsidR="00653D29">
        <w:rPr>
          <w:rFonts w:ascii="Times New Roman" w:hAnsi="Times New Roman" w:cs="Times New Roman"/>
          <w:b/>
          <w:sz w:val="28"/>
          <w:szCs w:val="28"/>
        </w:rPr>
        <w:t>9</w:t>
      </w:r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219F2" w:rsidRPr="005B293E" w:rsidRDefault="004219F2" w:rsidP="00653D29">
      <w:pPr>
        <w:tabs>
          <w:tab w:val="left" w:pos="288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9F2" w:rsidRDefault="004219F2" w:rsidP="00371ECC">
      <w:pPr>
        <w:pStyle w:val="af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5B293E">
        <w:rPr>
          <w:sz w:val="28"/>
          <w:szCs w:val="28"/>
          <w:lang w:eastAsia="en-US"/>
        </w:rPr>
        <w:t>В соответствии с</w:t>
      </w:r>
      <w:r w:rsidRPr="005B293E">
        <w:rPr>
          <w:sz w:val="28"/>
          <w:szCs w:val="28"/>
        </w:rPr>
        <w:t xml:space="preserve"> частью 5 и 5.1 </w:t>
      </w:r>
      <w:r w:rsidRPr="005B293E">
        <w:rPr>
          <w:sz w:val="28"/>
          <w:szCs w:val="28"/>
          <w:lang w:eastAsia="en-US"/>
        </w:rPr>
        <w:t>стать</w:t>
      </w:r>
      <w:r w:rsidRPr="005B293E">
        <w:rPr>
          <w:sz w:val="28"/>
          <w:szCs w:val="28"/>
        </w:rPr>
        <w:t>и</w:t>
      </w:r>
      <w:r w:rsidRPr="005B293E">
        <w:rPr>
          <w:sz w:val="28"/>
          <w:szCs w:val="28"/>
          <w:lang w:eastAsia="en-US"/>
        </w:rPr>
        <w:t xml:space="preserve"> </w:t>
      </w:r>
      <w:r w:rsidRPr="005B293E">
        <w:rPr>
          <w:sz w:val="28"/>
          <w:szCs w:val="28"/>
        </w:rPr>
        <w:t>3</w:t>
      </w:r>
      <w:r w:rsidRPr="005B293E">
        <w:rPr>
          <w:sz w:val="28"/>
          <w:szCs w:val="28"/>
          <w:lang w:eastAsia="en-US"/>
        </w:rPr>
        <w:t xml:space="preserve">6 Федерального закона от 06.10.2003 № 131-ФЗ «Об общих принципах организации местного самоуправления в Российской Федерации», </w:t>
      </w:r>
      <w:r w:rsidRPr="005B293E">
        <w:rPr>
          <w:sz w:val="28"/>
          <w:szCs w:val="28"/>
        </w:rPr>
        <w:t xml:space="preserve">частью 4 и 8 статьи 27 Устава муниципального образования </w:t>
      </w:r>
      <w:proofErr w:type="spellStart"/>
      <w:r w:rsidRPr="005B293E">
        <w:rPr>
          <w:sz w:val="28"/>
          <w:szCs w:val="28"/>
        </w:rPr>
        <w:t>Соль-Илецкий</w:t>
      </w:r>
      <w:proofErr w:type="spellEnd"/>
      <w:r w:rsidRPr="005B293E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</w:t>
      </w:r>
      <w:proofErr w:type="spellStart"/>
      <w:r w:rsidRPr="005B293E">
        <w:rPr>
          <w:sz w:val="28"/>
          <w:szCs w:val="28"/>
        </w:rPr>
        <w:t>Соль-Илецкий</w:t>
      </w:r>
      <w:proofErr w:type="spellEnd"/>
      <w:r w:rsidRPr="005B293E">
        <w:rPr>
          <w:sz w:val="28"/>
          <w:szCs w:val="28"/>
        </w:rPr>
        <w:t xml:space="preserve"> городской округ  № 511 от 15.02.2017 «Об утверждении Положения о порядке предоставления и рассмотрения ежегодного отчета главы муниципального образования», </w:t>
      </w:r>
      <w:r w:rsidRPr="005B293E">
        <w:rPr>
          <w:bCs/>
          <w:sz w:val="28"/>
          <w:szCs w:val="28"/>
        </w:rPr>
        <w:t>з</w:t>
      </w:r>
      <w:r w:rsidRPr="005B293E">
        <w:rPr>
          <w:sz w:val="28"/>
          <w:szCs w:val="28"/>
        </w:rPr>
        <w:t xml:space="preserve">аслушав ежегодный отчет главы муниципального образования </w:t>
      </w:r>
      <w:proofErr w:type="spellStart"/>
      <w:r w:rsidRPr="005B293E">
        <w:rPr>
          <w:sz w:val="28"/>
          <w:szCs w:val="28"/>
        </w:rPr>
        <w:t>Соль-Илецкий</w:t>
      </w:r>
      <w:proofErr w:type="spellEnd"/>
      <w:r w:rsidRPr="005B293E">
        <w:rPr>
          <w:sz w:val="28"/>
          <w:szCs w:val="28"/>
        </w:rPr>
        <w:t xml:space="preserve"> городской округ  Оренбургской области Кузьмина А.А., Совет депутатов решил:</w:t>
      </w:r>
      <w:proofErr w:type="gramEnd"/>
    </w:p>
    <w:p w:rsidR="004219F2" w:rsidRPr="005B293E" w:rsidRDefault="004219F2" w:rsidP="00371ECC">
      <w:pPr>
        <w:pStyle w:val="13"/>
        <w:spacing w:line="360" w:lineRule="auto"/>
        <w:ind w:firstLine="567"/>
        <w:jc w:val="both"/>
        <w:rPr>
          <w:sz w:val="28"/>
          <w:szCs w:val="28"/>
        </w:rPr>
      </w:pPr>
      <w:r w:rsidRPr="005B293E">
        <w:rPr>
          <w:sz w:val="28"/>
          <w:szCs w:val="28"/>
        </w:rPr>
        <w:t xml:space="preserve">1. Принять к сведению ежегодный отчет главы муниципального образования </w:t>
      </w:r>
      <w:proofErr w:type="spellStart"/>
      <w:r w:rsidRPr="005B293E">
        <w:rPr>
          <w:sz w:val="28"/>
          <w:szCs w:val="28"/>
        </w:rPr>
        <w:t>Соль-Илецкий</w:t>
      </w:r>
      <w:proofErr w:type="spellEnd"/>
      <w:r w:rsidRPr="005B293E">
        <w:rPr>
          <w:sz w:val="28"/>
          <w:szCs w:val="28"/>
        </w:rPr>
        <w:t xml:space="preserve"> городской округ Оренбургской области о результатах своей деятельности, деятельности администрации </w:t>
      </w:r>
      <w:proofErr w:type="spellStart"/>
      <w:r w:rsidRPr="005B293E">
        <w:rPr>
          <w:sz w:val="28"/>
          <w:szCs w:val="28"/>
        </w:rPr>
        <w:t>Соль-Илецкого</w:t>
      </w:r>
      <w:proofErr w:type="spellEnd"/>
      <w:r w:rsidRPr="005B293E">
        <w:rPr>
          <w:sz w:val="28"/>
          <w:szCs w:val="28"/>
        </w:rPr>
        <w:t xml:space="preserve"> городского округа, в том числе о решении вопросов, поставленных Советом депутатов за 201</w:t>
      </w:r>
      <w:r w:rsidR="00653D29">
        <w:rPr>
          <w:sz w:val="28"/>
          <w:szCs w:val="28"/>
        </w:rPr>
        <w:t>9</w:t>
      </w:r>
      <w:r w:rsidRPr="005B293E">
        <w:rPr>
          <w:sz w:val="28"/>
          <w:szCs w:val="28"/>
        </w:rPr>
        <w:t xml:space="preserve"> год (прилагается).</w:t>
      </w:r>
    </w:p>
    <w:p w:rsidR="004219F2" w:rsidRPr="00FC39DC" w:rsidRDefault="004219F2" w:rsidP="00371ECC">
      <w:pPr>
        <w:tabs>
          <w:tab w:val="left" w:pos="2880"/>
          <w:tab w:val="left" w:pos="595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39DC">
        <w:rPr>
          <w:rStyle w:val="af2"/>
          <w:rFonts w:ascii="Times New Roman" w:hAnsi="Times New Roman" w:cs="Times New Roman"/>
          <w:i w:val="0"/>
          <w:sz w:val="28"/>
          <w:szCs w:val="28"/>
        </w:rPr>
        <w:lastRenderedPageBreak/>
        <w:t xml:space="preserve">2. </w:t>
      </w:r>
      <w:r w:rsidRPr="00FC39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Деятельность </w:t>
      </w:r>
      <w:r w:rsidRPr="00FC39D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главы муниципального образования </w:t>
      </w:r>
      <w:proofErr w:type="spellStart"/>
      <w:r w:rsidRPr="00FC39D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C39D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r w:rsidRPr="00FC39DC">
        <w:rPr>
          <w:rFonts w:ascii="Times New Roman" w:hAnsi="Times New Roman" w:cs="Times New Roman"/>
          <w:sz w:val="28"/>
          <w:szCs w:val="28"/>
          <w:shd w:val="clear" w:color="auto" w:fill="FFFFFF"/>
        </w:rPr>
        <w:t>за 201</w:t>
      </w:r>
      <w:r w:rsidR="00653D29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FC39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считать удовлетворительной.</w:t>
      </w:r>
    </w:p>
    <w:p w:rsidR="004219F2" w:rsidRPr="005B293E" w:rsidRDefault="004219F2" w:rsidP="00371ECC">
      <w:pPr>
        <w:pStyle w:val="13"/>
        <w:spacing w:line="360" w:lineRule="auto"/>
        <w:ind w:firstLine="567"/>
        <w:jc w:val="both"/>
        <w:rPr>
          <w:sz w:val="28"/>
          <w:szCs w:val="28"/>
        </w:rPr>
      </w:pPr>
      <w:r w:rsidRPr="005B293E">
        <w:rPr>
          <w:sz w:val="28"/>
          <w:szCs w:val="28"/>
        </w:rPr>
        <w:t>3. Решение вступает в силу со дня подписания и подлежит официальному опубликованию.</w:t>
      </w:r>
    </w:p>
    <w:p w:rsidR="004219F2" w:rsidRDefault="004219F2" w:rsidP="007711FB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1FB" w:rsidRDefault="007711FB" w:rsidP="007711FB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3D29" w:rsidRDefault="00653D29" w:rsidP="007711FB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19F2" w:rsidRPr="005B293E" w:rsidRDefault="004219F2" w:rsidP="00771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4219F2" w:rsidRPr="005B293E" w:rsidRDefault="004219F2" w:rsidP="00771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19F2" w:rsidRDefault="004219F2" w:rsidP="00653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Н.</w:t>
      </w:r>
      <w:r w:rsidR="00653D29">
        <w:rPr>
          <w:rFonts w:ascii="Times New Roman" w:hAnsi="Times New Roman" w:cs="Times New Roman"/>
          <w:sz w:val="28"/>
          <w:szCs w:val="28"/>
        </w:rPr>
        <w:t>А.Кузьмин</w:t>
      </w: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1FB" w:rsidRDefault="007711FB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1FB" w:rsidRDefault="007711FB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ECC" w:rsidRDefault="00371ECC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77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Pr="009A0D3D" w:rsidRDefault="004219F2" w:rsidP="00771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9F2" w:rsidRPr="009A0D3D" w:rsidRDefault="004219F2" w:rsidP="007711FB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bookmarkStart w:id="0" w:name="_GoBack"/>
      <w:bookmarkEnd w:id="0"/>
      <w:r w:rsidRPr="009A0D3D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городского округа – </w:t>
      </w:r>
      <w:r w:rsidR="009A0D3D">
        <w:rPr>
          <w:rFonts w:ascii="Times New Roman" w:hAnsi="Times New Roman" w:cs="Times New Roman"/>
          <w:sz w:val="24"/>
          <w:szCs w:val="24"/>
        </w:rPr>
        <w:t>20</w:t>
      </w:r>
      <w:r w:rsidRPr="009A0D3D">
        <w:rPr>
          <w:rFonts w:ascii="Times New Roman" w:hAnsi="Times New Roman" w:cs="Times New Roman"/>
          <w:sz w:val="24"/>
          <w:szCs w:val="24"/>
        </w:rPr>
        <w:t xml:space="preserve"> экз., администрация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9A0D3D" w:rsidRDefault="009A0D3D" w:rsidP="007711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4219F2" w:rsidRPr="005B293E" w:rsidRDefault="004219F2" w:rsidP="007711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4219F2" w:rsidRPr="005B293E" w:rsidRDefault="004219F2" w:rsidP="007711FB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4219F2" w:rsidRPr="005B293E" w:rsidRDefault="004219F2" w:rsidP="007711FB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4219F2" w:rsidRPr="005B293E" w:rsidRDefault="004219F2" w:rsidP="007711FB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5B293E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4219F2" w:rsidRPr="005B293E" w:rsidRDefault="004219F2" w:rsidP="007711FB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5B293E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F13BD9">
        <w:rPr>
          <w:rFonts w:ascii="Times New Roman" w:hAnsi="Times New Roman" w:cs="Times New Roman"/>
          <w:spacing w:val="-3"/>
          <w:sz w:val="28"/>
          <w:szCs w:val="28"/>
        </w:rPr>
        <w:t>18.11.</w:t>
      </w:r>
      <w:r>
        <w:rPr>
          <w:rFonts w:ascii="Times New Roman" w:hAnsi="Times New Roman" w:cs="Times New Roman"/>
          <w:spacing w:val="-3"/>
          <w:sz w:val="28"/>
          <w:szCs w:val="28"/>
        </w:rPr>
        <w:t>20</w:t>
      </w:r>
      <w:r w:rsidR="006B1CD9">
        <w:rPr>
          <w:rFonts w:ascii="Times New Roman" w:hAnsi="Times New Roman" w:cs="Times New Roman"/>
          <w:spacing w:val="-3"/>
          <w:sz w:val="28"/>
          <w:szCs w:val="28"/>
        </w:rPr>
        <w:t>20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№ </w:t>
      </w:r>
      <w:r w:rsidR="00F13BD9">
        <w:rPr>
          <w:rFonts w:ascii="Times New Roman" w:hAnsi="Times New Roman" w:cs="Times New Roman"/>
          <w:spacing w:val="-3"/>
          <w:sz w:val="28"/>
          <w:szCs w:val="28"/>
        </w:rPr>
        <w:t>19</w:t>
      </w:r>
    </w:p>
    <w:p w:rsidR="004219F2" w:rsidRPr="005B293E" w:rsidRDefault="004219F2" w:rsidP="007711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9F2" w:rsidRPr="005B293E" w:rsidRDefault="004219F2" w:rsidP="007711FB">
      <w:pPr>
        <w:spacing w:after="0" w:line="240" w:lineRule="auto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4DC" w:rsidRPr="00F2740C" w:rsidRDefault="00AD64DC" w:rsidP="007711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090E35" w:rsidRPr="00F2740C" w:rsidRDefault="00AD64DC" w:rsidP="007711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главы муниципального образования </w:t>
      </w:r>
      <w:proofErr w:type="spellStart"/>
      <w:r w:rsidRPr="00F2740C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="00090E35"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7CAB" w:rsidRPr="00F2740C">
        <w:rPr>
          <w:rFonts w:ascii="Times New Roman" w:hAnsi="Times New Roman" w:cs="Times New Roman"/>
          <w:b/>
          <w:bCs/>
          <w:sz w:val="28"/>
          <w:szCs w:val="28"/>
        </w:rPr>
        <w:t>городской округ</w:t>
      </w:r>
    </w:p>
    <w:p w:rsidR="002A6465" w:rsidRPr="00F2740C" w:rsidRDefault="007711FB" w:rsidP="007711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своей деятельности, деятельности администрации </w:t>
      </w:r>
      <w:proofErr w:type="spellStart"/>
      <w:r w:rsidRPr="00F2740C">
        <w:rPr>
          <w:rFonts w:ascii="Times New Roman" w:hAnsi="Times New Roman" w:cs="Times New Roman"/>
          <w:b/>
          <w:bCs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округа, в том числе о решении вопросов, поставленных Советом депутатов за 201</w:t>
      </w:r>
      <w:r w:rsidR="006B1CD9" w:rsidRPr="00F2740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711FB" w:rsidRDefault="007711FB" w:rsidP="007711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2740C" w:rsidRPr="00F2740C" w:rsidRDefault="00F2740C" w:rsidP="00F2740C">
      <w:pPr>
        <w:numPr>
          <w:ilvl w:val="0"/>
          <w:numId w:val="30"/>
        </w:num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Социально-экономическое положение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Главной целью экономической политики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 является привлечение инвестиций в реальный сектор экономики, средний и малый бизнес, инфраструктуру городского хозяйства,  для устойчивого повышения благосостояния и качества жизни населения округа. Итоги социально-экономического развития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за 2019 год характеризовались положительной динамикой по основным макроэкономическим показателям, а именно: индексу промышленного производства, объёму отгруженных товаров собственного производства, обороту розничной торговли и ряду других.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Основу экономического потенциала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составляют предприятия промышленного производства и субъекты малого предпринимательства. Основные приоритеты  развития экономики округа: добыча полезных ископаемых, туризм, сельское хозяйство и строительство жилья.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финансово-хозяйственную деятельность в настоящее время ведут предприятия трёх основных видов экономической деятельности: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-в сфере добычи полезных ископаемых;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-в сфере обрабатывающих производств;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-в сфере производства и распределения электроэнергии, газа и воды.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Ряд социально-экономических показателей  за 2019 год к аналогичному периоду 2018 года сохранили  положительную динамику, увеличились: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17,3%  - добыча полезных ископаемых;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7%  - объём продукции обрабатывающих производств;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3,2 раза - инвестиции в основной капитал за счёт всех источников финансирования по крупным и средним предприятиям;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4,3%  - оборот розничной торговли;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1,1% - оборот общественного питания;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на 2,5%  - объём платных услуг населению.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iCs/>
          <w:sz w:val="28"/>
          <w:szCs w:val="28"/>
        </w:rPr>
        <w:t>Промышленное производство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округе зарегистрировано по основным видам экономической деятельности 596 предприятий и организаций, в том числе, ряд крупных предприятий: ТОСП ООО УК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Руссоль-Усолье-Илецк-Соль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 ООО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», Федеральное казенное учреждение  «Исправительная колония  №6»  УФСИН России по Оренбургской области, Федеральное казённое учреждение КП-12 УФСИН России по Оренбургской области,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 Редакция газеты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Защита» 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филиал ГУП РИА «Оренбуржье»,  ОАО «Спутник».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Основные промышленные отрасли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– добыча полезных ископаемых (каменная соль), обрабатывающие производства (переработка мяса, мясной продукции и рыбы, производство одежды, обуви, хлебобулочных и мучных кондитерских изделий, деятельность полиграфическая, производство готовых металлических изделий, распиловка древесины, производство прочих пищевых продуктов и др.).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Индекс промышленного производства за 2019 год составил 110,5% к январю – декабрю 2018 года.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Увеличение объёмов промышленного производства отмечено по следующим  видам экономической деятельности.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Добыча соли глыбовой, молотой, ТОСП ООО УК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Руссоль-Усолье-Илецк-Соль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  составила  в  суммовом выражении 1881,9 млн. рублей или 117,3% к уровню 2018 года.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 обрабатывающим производствам. Организациями обрабатывающих производств  (ФКУ ИК-6, ФКУ КП-12, ОАО «Спутник», ТОСП ООО УК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Руссоль-Усолье-Илецк-Соль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») отгружено товаров собственного производства на сумму 1660,9 млн. рублей или 107,0% к уровню 2018 года.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виду деятельности «Обеспечение электрической энергией, газом и паром; кондиционирование воздуха» выполнено работ и услуг на 324,1 млн. рублей, что к соответствующему периоду 2018 года составляет 108,4 %.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Крупными и средними организациями по виду деятельности «Водоснабжение;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водоотведение, организация сбора и утилизация отходов, деятельность по ликвидации загрязнений» выполнено работ и услуг собственными силами на 73,2 млн. рублей, что к соответствующему периоду 2018 года составило 66,3 %. Сокращение в 2019 году производства по водоснабжению и водоотведению произошло у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ММПП ЖКХ и муниципальных унитарных предприятий 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из-за установки населением счётчиков на воду, по причине необходимости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выполнения требований ст.13 </w:t>
      </w:r>
      <w:hyperlink r:id="rId9" w:history="1">
        <w:r w:rsidRPr="00F2740C">
          <w:rPr>
            <w:rFonts w:ascii="Times New Roman" w:hAnsi="Times New Roman" w:cs="Times New Roman"/>
            <w:bCs/>
            <w:sz w:val="28"/>
          </w:rPr>
          <w:t>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</w:r>
      </w:hyperlink>
      <w:r w:rsidRPr="00F2740C">
        <w:rPr>
          <w:rFonts w:ascii="Times New Roman" w:hAnsi="Times New Roman" w:cs="Times New Roman"/>
          <w:sz w:val="28"/>
          <w:szCs w:val="28"/>
        </w:rPr>
        <w:t xml:space="preserve"> по</w:t>
      </w:r>
      <w:r w:rsidRPr="00F2740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274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обеспечению учёта </w:t>
      </w:r>
      <w:r w:rsidRPr="00F274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используемых энергетических ресурсов и применения приборов учёта используемых энергетических ресурсов при осуществлении расчётов за энергетические ресурсы</w:t>
      </w:r>
      <w:proofErr w:type="gramStart"/>
      <w:r w:rsidRPr="00F2740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Агропромышленный комплекс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Объём продукции сельского хозяйства в крупных и средних организациях составил 1237,2 млн. руб. - 107,0% к соответствующему периоду 2018 года, в том числе по животноводству – 867,9 млн. руб. (109,0%), по растениеводству – 369,3 млн. руб. (102,6%).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Произведено скота и птицы (производство-реализация) 0,832 тыс. тонн - 112,0% к аналогичному периоду </w:t>
      </w:r>
      <w:smartTag w:uri="urn:schemas-microsoft-com:office:smarttags" w:element="metricconverter">
        <w:smartTagPr>
          <w:attr w:name="ProductID" w:val="2018 г"/>
        </w:smartTagPr>
        <w:r w:rsidRPr="00F2740C">
          <w:rPr>
            <w:rFonts w:ascii="Times New Roman" w:hAnsi="Times New Roman" w:cs="Times New Roman"/>
            <w:sz w:val="28"/>
            <w:szCs w:val="28"/>
          </w:rPr>
          <w:t>2018 года</w:t>
        </w:r>
      </w:smartTag>
      <w:r w:rsidRPr="00F2740C">
        <w:rPr>
          <w:rFonts w:ascii="Times New Roman" w:hAnsi="Times New Roman" w:cs="Times New Roman"/>
          <w:sz w:val="28"/>
          <w:szCs w:val="28"/>
        </w:rPr>
        <w:t>. Производство молока составило 0,528 тыс. тонн (62,1%). Сокращение производства молока произошло из-за выбраковки маточного поголовья коров в ООО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Заилечье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. Производство яиц - 127,8 млн. шт. (105,6%).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Поголовье крупного рогатого скота составило 3,2 тыс. голов - 95,0% к аналогичному периоду 2018 года, в том числе коров - 1,5 тыс. голов (97,0 %), свиней - 1,2 тыс. голов (103,6%), овец и коз - 1,6 тыс. голов (101,0%).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Инвестиции и строительство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Реализация инвестиционной политики администрации городского округа направлена на создание </w:t>
      </w:r>
      <w:r w:rsidRPr="00F2740C">
        <w:rPr>
          <w:rFonts w:ascii="Times New Roman" w:hAnsi="Times New Roman" w:cs="Times New Roman"/>
          <w:i/>
          <w:iCs/>
          <w:sz w:val="28"/>
        </w:rPr>
        <w:t>комфортных условий для бизнеса</w:t>
      </w:r>
      <w:r w:rsidRPr="00F2740C">
        <w:rPr>
          <w:rFonts w:ascii="Times New Roman" w:hAnsi="Times New Roman" w:cs="Times New Roman"/>
          <w:sz w:val="28"/>
          <w:szCs w:val="28"/>
        </w:rPr>
        <w:t xml:space="preserve"> и на повышение доверия инвесторов к власти.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В 2019 году на социально-экономическое развитие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направлено инвестиций в основной капитал в объеме 4169,148 млн. руб., что по отношению к уровню 2018 года  составило  302,7 %  в сопоставимых ценах. 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Собственные средства предприятий в  общей структуре инвестиций составили 1547,386 млн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ублей (37,2% от общего объема инвестиций), привлеченные средства  в общей  структуре инвестиций составили 2621,762  млн. рублей  (62,8% от общего объема инвестиций),  в том числе бюджетные средства – 633,606 млн. рублей (24,2% от объема привлеченных средств), в том числе: средства федерального бюджета - 327,347 млн. рублей,  средства областного бюджета  – 292,06 млн. рублей, 14,199 млн. рублей  средства  местного бюджета, кредиты банков составили  1944,01 млн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ублей   (74,2% от объема привлеченных средств),   заемные средства других организаций  12,3 млн.рублей, прочие – 31,85  млн.рублей.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за счёт внебюджетных инвестиций  реализованы  масштабные проекты по  строительству солнечных электростанций  в  селе  Елшанка мощностью 25 МВт и посёлке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мощностью 10 МВт – объём инвестиций по проектам составит 3,329 млрд. рублей.</w:t>
      </w:r>
    </w:p>
    <w:p w:rsidR="00F2740C" w:rsidRPr="00F2740C" w:rsidRDefault="00F2740C" w:rsidP="00F2740C">
      <w:pPr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Финансы</w:t>
      </w:r>
      <w:bookmarkStart w:id="1" w:name="_Toc284346115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основным видам экономической деятельности крупные и средние предприятия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за январь-декабрь 2019 года 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получили прибыль (до налогообложения)  в размере  132503,0 тыс. рублей –  или 72,3% к  уровню 2018 года (183 357 тыс. рублей).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За январь – декабрь 2019 года  суммарная задолженность по обязательствам (кредиторская, задолженность по полученным кредитам банков и займам) организаций по видам экономической деятельности составила 571872,0 тыс. рублей (96%). Кредиторская   задолженность 52008,0 тыс. рублей (61%), задолженность по полученным кредитам банков и займов составила 519 864,0 тыс. рублей (102%).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Дебиторская задолженность по видам экономической деятельности  за январь-декабрь 2019 года  составила 69129,0 тыс. рублей, в том числе просроченная 829,0 тыс. рублей, (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: за январь-декабрь 2018 года  данные показатели составили 154137,0 тыс. рублей и 2009,0 тыс. рублей соответственно). В </w:t>
      </w:r>
      <w:smartTag w:uri="urn:schemas-microsoft-com:office:smarttags" w:element="metricconverter">
        <w:smartTagPr>
          <w:attr w:name="ProductID" w:val="2019 г"/>
        </w:smartTagPr>
        <w:r w:rsidRPr="00F2740C">
          <w:rPr>
            <w:rFonts w:ascii="Times New Roman" w:hAnsi="Times New Roman" w:cs="Times New Roman"/>
            <w:sz w:val="28"/>
            <w:szCs w:val="28"/>
          </w:rPr>
          <w:t>2019 г</w:t>
        </w:r>
      </w:smartTag>
      <w:r w:rsidRPr="00F2740C">
        <w:rPr>
          <w:rFonts w:ascii="Times New Roman" w:hAnsi="Times New Roman" w:cs="Times New Roman"/>
          <w:sz w:val="28"/>
          <w:szCs w:val="28"/>
        </w:rPr>
        <w:t xml:space="preserve">. к соответствующему периоду </w:t>
      </w:r>
      <w:smartTag w:uri="urn:schemas-microsoft-com:office:smarttags" w:element="metricconverter">
        <w:smartTagPr>
          <w:attr w:name="ProductID" w:val="2018 г"/>
        </w:smartTagPr>
        <w:r w:rsidRPr="00F2740C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F2740C">
        <w:rPr>
          <w:rFonts w:ascii="Times New Roman" w:hAnsi="Times New Roman" w:cs="Times New Roman"/>
          <w:sz w:val="28"/>
          <w:szCs w:val="28"/>
        </w:rPr>
        <w:t>. просроченная дебиторская задолженность снизилась на 59%.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Потребительский рынок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Оборот розничной торговли составил 4463,64 млн. рублей, или 104,3% к соответствующему периоду 2018 года в сопоставимых ценах.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Оборот общественного питания сложился в сумме 119,2 млн. рублей или 101,1% в сопоставимых ценах к уровню 2018 года.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расчёте на одного жителя оборот общественного питания составил 2361,0 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городском округе сформирована устойчивая система торгового обслуживания населения, которая насчитывает  344  стационарных предприятия розничной торговли с общей площадью 40,563 тыс. кв. м., 45 общедоступных предприятий общественного питания на 4004 посадочных мест.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работают федеральные и региональные сетевые компании: «Магнит»,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Магнит-косметикс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«Пятёрочка», «СОВИН», «Красное и белое»,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Евросеть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«Мегафон»,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Билайн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«МТС», «Строительный БУМ», 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МегаРай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«Светофор»,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ДоброЦен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функционирует один розничный рынок, располагающий 1131 торговым местом. В течение года работала  сельскохозяйственная ярмарка «выходного дня», организуемая каждые две недели на центральной площади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Соль-Илецка. Они остаются заметной структурой, обеспечивающей покупателей широким ассортиментом товаров с возможностью их выбора в соответствии с имеющимися доходами, а сельхозпроизводителям  крестьянско-фермерским и личным подсобным хозяйствам – они дают возможность реализовать собственную продукцию. Товаропроводящей сетью в сельских населённых пунктах, особенно отдалённых по-прежнему остается потребительская кооперация.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Платные услуги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Объём платных услуг населению составил 931,77 млн. рублей – 119% к аналогичному периоду 2018 г. – 780,99 млн. руб</w:t>
      </w:r>
      <w:r w:rsidRPr="00F2740C">
        <w:rPr>
          <w:rFonts w:ascii="Times New Roman" w:hAnsi="Times New Roman" w:cs="Times New Roman"/>
          <w:i/>
          <w:sz w:val="28"/>
          <w:szCs w:val="28"/>
        </w:rPr>
        <w:t>.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 расчёте на одного жителя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оказано платных услуг на сумму 29,499 тыс. рублей.       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Структура платных услуг населению в отчётном  периоде существенных изменений не претерпела, по прежнему доминируют пять  видов услуг: коммунальные  услуги, бытовые услуги, услуги связи, услуги образования, медицинские услуги.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Наиболее востребованными населением видами бытовых услуг остаются парикмахерские, ритуальные,  услуги бань и душевых, ремонт обуви, пошив швейных изделий, техническое обслуживание и ремонт автотранспортных средств, ремонт бытовой техники и компьютеров, ремонт мебели, ремонт и строительство  жилья и других построек.</w:t>
      </w:r>
    </w:p>
    <w:p w:rsidR="00F2740C" w:rsidRPr="00F2740C" w:rsidRDefault="00F2740C" w:rsidP="00F274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Пользуются спросом у населения такие услуги, как установка пластиковых окон, дверей, услуги по замене труб из современного материала, услуги по ремонту жилых помещений из современного отделочного материала, доставка готовой еды в офис, на предприятие, на дом и др., химчистка на дому, платная рыбалка, услуги ассенизационных машин и т.д., а также сезонные услуги – по подаче деклараций 3-НДФЛ, приёму коммунальных платежей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, вскопке огородов и садовых участков.  Появились новые виды услуг – услуги по дизайну помещений, изготовление и кладка тротуарной и напольной плитки, бордюров, панелей, фасадов, водостоков, декоративного камня, установка спутникового и оптико-волоконного интернета, телевидения.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в расчёте на одного работника крупных и средних предприятий Соль 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за январь 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 xml:space="preserve">декабрь  2019 г. составила  26758,0 рублей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108,5% к аналогичному периоду 2018 года, в том числе по видам экономической деятельности: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обеспечение электрической энергией, газом и паром; кондиционирование воздуха – 25057,7 руб. (107,7%);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оптовая и розничная торговля; ремонт автотранспортных средств, мотоциклов, бытовых изделий и предметов личного пользования – 23286,3 руб. (110,8%);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транспортировка и хранение – 29669,3 руб. (106,3%);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деятельность финансовая и страховая – 36582,5 руб. (104,6%);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государственное управление и обеспечение военной безопасности; социальное страхование – 26325,2 руб. (111,3%);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образование – 22274,3 руб. (107,2%);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деятельность в области здравоохранения и социальных услуг – 27175,9 руб. (111,1%);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Фонд начисленной заработной платы всех работников  в 2019  г.  составил  2741137,2 тыс. рублей, что составляет  (127,2%).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Задолженность по выплате заработной платы по кругу наблюдаемых видов экономической деятельности по состоянию на 01 января 2020 г. по данным статистики отсутствует.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Демографическая ситуация</w:t>
      </w:r>
    </w:p>
    <w:p w:rsidR="00F2740C" w:rsidRPr="00F2740C" w:rsidRDefault="00F2740C" w:rsidP="00F274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состоянию на 01.01.2020 года  численность населения Соль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составляла  50,474 тыс. человек,  из  которых  53,4% или   26,923 тыс. чел. в городе и 46,6% или 23,551 тыс. человек в сельской местности. </w:t>
      </w:r>
    </w:p>
    <w:p w:rsidR="00F2740C" w:rsidRPr="00F2740C" w:rsidRDefault="00F2740C" w:rsidP="00F2740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2019 году среднегодовая численность населения составила 50,718 тыс. человек и уменьшилась  по сравнению с 2018 годом  на 412 человека. Численность населения трудоспособного возраста в 2019  году  составляла 27,0 тыс. человек, численность населения старше трудоспособного возраста-  10,826  тыс. человек.</w:t>
      </w:r>
    </w:p>
    <w:p w:rsidR="00F2740C" w:rsidRPr="00F2740C" w:rsidRDefault="00F2740C" w:rsidP="00F27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 году количество родившихся составило 669 человек,   количество умерших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608 человек,  естественный прирост составил 61 человек.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ab/>
        <w:t xml:space="preserve">Общий коэффициент рождаемости  составил 13,19  человек на 1000 населения. Общий коэффициент смертности в 2019 году составил 11,987  на 1000 населения, </w:t>
      </w:r>
      <w:r w:rsidRPr="00F2740C">
        <w:rPr>
          <w:rFonts w:ascii="Times New Roman" w:hAnsi="Times New Roman" w:cs="Times New Roman"/>
          <w:sz w:val="28"/>
          <w:szCs w:val="28"/>
        </w:rPr>
        <w:tab/>
        <w:t xml:space="preserve">коэффициент естественного прироста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1,202 человек  на 1000 населения.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Миграционная убыль в Соль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Илецком городском округе   составила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550 человек. Общий миграционный оборот в  январе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декабре 2019 году 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>2738 человек.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Рынок труда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 Центр занятости населения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района принял 6544 заявления от граждан о предоставлении государственных услуг по всем вопросам, связанным с трудоустройством.  В том числе, заявлений в электронном виде - 4408; при личном посещении – 2136. В итоге 1219 человек (в 2018 году - 1110) были поставлены на учёт в качестве ищущих работу. Все они  являются гражданами трудоспособного возраста. Остальные получили консультации по различным вопросам трудоустройства.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структуре поставленных на учёт в Центре занятости 700 женщин, что составляет 57 % к общему числу незанятых граждан, поставленных на учёт.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   безработными   915 человек (в 2018году – 721 человек).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состоянию на 01 января  2020 года, численность  граждан имеющих статус безработного, состоящих на учёте в Центре занятости составила 386 человек, - 99 % к соответствующему периоду прошлого года (2018 г – 390 чел.). Из них уволенных по собственному желанию - 279, по сокращению штата – 17 чел.  Представители рабочих профессий – 242, служащих - 134.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Официальный уровень безработицы составляет 1,57% от экономически активного населения.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  отчетный период предприятиями всех форм собственности было заявлено - 1994 вакансии.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Банк данных о наличии свободных рабочих мест формируется ежемесячно на основании соответствующих сведений от работодателей.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Средняя продолжительность существования вакансий на 01.01.2020 года составляет 1 месяц.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вакантные рабочие места за отчётный период  трудоустроено683 человека (2018 год – 623 человека). 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21 мини-ярмарка вакансий постоянных и временных рабочих мест.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Их посетили 622 человека. Трудоустроено  4 человека.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Согласно плану совместных мероприятий органов труда и занятости населения и исправительных учреждений УФСИН России по Оренбургской области были проведены пять встреч в формате дня службы занятости и  информирования,  профессиональной ориентации в ФКУ КП-12 и ФКУ ИК-6.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В 2019 году  были трудоустроены 202 несовершеннолетних гражданина  (в 2018 году –  251).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Государственную услугу по профессиональной ориентации получили  797 человек (2018 год -  677), из них безработных граждан –  562.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Психологическую поддержку получили 100 безработных граждан (2018 год - 85), из них женщин - 48, жители сельской местности – 50, молодежь – 6 человек.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Госуслугу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по социальной адаптации  получили 98 человек (2018 год - 85 чел.), из них женщин – 34, жители сельской местности – 46, инвалиды – 4.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За 2019 год  Центром занятости населения из числа  безработных граждан было направлено на обучение – 57 человек (2018 г - 29): женщины - 37, молодежь – 7,  жители сельской местности — 27 человек.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За 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>отчётный период 2019 года от  предприятий и организаций  были приняты сведения о высвобождении работников</w:t>
      </w:r>
      <w:r w:rsidRPr="00F2740C">
        <w:rPr>
          <w:rFonts w:ascii="Times New Roman" w:hAnsi="Times New Roman" w:cs="Times New Roman"/>
          <w:sz w:val="28"/>
          <w:szCs w:val="28"/>
        </w:rPr>
        <w:t>: редакция газеты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Защита»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филиал ГУП Оренбургской области «Региональное информационное агентство «Оренбуржье», администрация МО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округ, ФКУ ИК-6 УФСИН России по Оренбургской области, ФГКУ комбинат «Светлый», ООО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Руссоль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», ГБУЗ «Городская больница г. Соль-Илецка», Филиал ПАО «Сбербанк России» Оренбургское отделение № 8623, УПФР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Саракташском</w:t>
      </w:r>
      <w:proofErr w:type="spellEnd"/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, ГУП Оренбургской области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лесхоз».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Моногород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является одной из 319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монотерриторий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Российской Федерации и на протяжении трёх лет (2017-2019 годы) участвует в реализации федеральной приоритетной программы «Комплексное развитие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моногородов». Ключевые показатели – создание новых рабочих мест и объём инвестиций, привлечённых в основной капитал.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ходе исполнения программы к концу 2019 года создано 1010 новых рабочих мест, что составило 100,7 % к плановому показателю.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Объём инвестиций в основной капитал за счёт всех источников финансирования по итогам реализации программы за 2017-2019 годы составил 7750 млн. рублей, или 102,3% к плановому показателю (7574,86 млн. рублей).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Девять субъектов малого и среднего предпринимательства, зарегистрированные на территории моногорода </w:t>
      </w:r>
      <w:proofErr w:type="gramStart"/>
      <w:r w:rsidRPr="00F2740C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b/>
          <w:sz w:val="28"/>
          <w:szCs w:val="28"/>
        </w:rPr>
        <w:t>. Соль-Илецк в 2019 году получили в Гарантийном фонде Оренбургской области льготные кредиты на общую сумму 19,1 млн.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Туризм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Туристско-рекреационная сфера, является основой для стабильного развития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Правительством Оренбургской области и администрацией муниципального образования в течение ряда последних лет ведётся последовательная работа по  созданию и развитию 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туристско-рекреационного кластера.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Усилиями предпринимательского сообщества, местных и региональных органов власти в Соль-Илецке ежегодно обеспечивается отдых сотен тысяч туристов. 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2019 году курорт посетили </w:t>
      </w:r>
      <w:r w:rsidRPr="00F2740C">
        <w:rPr>
          <w:rFonts w:ascii="Times New Roman" w:hAnsi="Times New Roman" w:cs="Times New Roman"/>
          <w:sz w:val="28"/>
          <w:szCs w:val="28"/>
        </w:rPr>
        <w:t xml:space="preserve">1,347 млн.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человек.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Основная масса гостей – жители Башкортостана, Татарстана, Самарской, Пермской, Челябинской, Свердловской областей, Республики Казахстан.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туристическом портале Оренбургской области размещена информация по 16 маршрутам и экскурсиям, проводимым на территории городского округа, среди них историко-культурные, паломнические, экологические, оздоровительные, а также экстремальные.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Основным инвестиционным проектом является «Строительство рекреационно-оздоровительного комплекса «Солёные озёра», который финансируется за счёт внебюджетных источников. Стоимость проекта 1 очереди составляет 2100,0 млн.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началась реализация  второго этапа  проекта «Создание  туристско-рекреационного кластера «Солёные озёра». Его целью является повышение уровня развития туристической инфраструктуры  (строительство новых средств  размещения, лечения, питания, отдыха и развлечений в количестве, достаточном для покрытия платёжеспособного спроса со стороны туристов).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Решение этой задачи планируется осуществить посредством комплексного развития туристической и обеспечивающей инфраструктуры Кластера, который предполагает реализацию комплекса инвестиционных проектов по двум направлениям: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1. Строительство учреждений рекреационно-оздоровительного типа, которые представляют собой «якорные» инвестиционные объекты, вокруг которых будут располагаться объекты туристической инфраструктуры малого бизнеса.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2. Строительство новых и модернизация существующих объектов обеспечивающей инфраструктуры (дорожная инфраструктура, очистные сооружения).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в 2019 году  произведена реконструкция 5 дорог города  Соль-Илецка: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; ул. Крюковская; подъездная дорога к </w:t>
      </w:r>
      <w:proofErr w:type="spellStart"/>
      <w:proofErr w:type="gramStart"/>
      <w:r w:rsidRPr="00F2740C">
        <w:rPr>
          <w:rFonts w:ascii="Times New Roman" w:hAnsi="Times New Roman" w:cs="Times New Roman"/>
          <w:sz w:val="28"/>
          <w:szCs w:val="28"/>
        </w:rPr>
        <w:t>рекреационно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оздоровительному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комплексу «Солёные озёра»; ул. Комсомольская; ул. Гатчинская, ул. Восточная (от ул. Молодёжная до ул. Гатчинская), ул. Молодёжная (от автомобильной дороги Оренбург-Акбулак до ул. Восточная), объём финансирования составил более 500 млн.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2. Исполнительно-распорядительная деятельность администрации по вопросам местного значения;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 в отчётном периоде, достигнутые по ним результаты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Уставом муниципального образования местная администрация как исполнительно-распорядительный орган наделена полномочиями по решению вопросов местного значения и правами для осуществления отдельных государственных полномочий, переданным органам местного самоуправления в порядке наделения федеральными законами и законами субъекта Федерации.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Деятельность администрации обеспечивается деятельностью её структурных подразделений (отделов, управлений, комитетов и т.п.) в соответствии с их профилем.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реализации задач, поставленных перед органом местного самоуправления, принимают участие созданные при администрации межведомственные советы и комиссии, а также действующие самостоятельно общественные объединения.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Муниципальные финансы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Одним из наиболее значимых вопросов местного значения является формирование, утверждение и исполнение бюджета муниципального образования.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этой сфере продолжаем курс на экономию и разумное расходование ресурсов. В отчётном периоде в непростых экономических условиях бюджет оставался бюджетом развития, сохранена его социальная направленность, были выполнены все взятые обязательства.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Всего в 2019 году в бюджет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городской округ поступило доходов в сумме 1 966 186,5 тыс. рублей при плане 1 975 411,2 тыс. рублей  (выполнение – 99,5%), что составляет   173,1%  к соответствующему периоду предыдущего года.  Значительное увеличение показателя связано с увеличением, по сравнению с предыдущим годом, суммы безвозмездных поступлений  в бюджет городского округа.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общей сумме доходов бюджета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 за  2019 год  сумма  налоговых и неналоговых доходов составила 394 509,6 тыс. рублей, сумма  безвозмездных поступлений составила 1 571 676,9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поступлений в общем объёме доходов  составила 20,1%.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Преобладающую долю налоговых и неналоговых доходов бюджета городского округа составляет налог на доходы физических лиц (63,3%).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Расходы бюджета городского округа произведены в пределах собственных доходов и безвозмездных поступлений из бюджетов других уровней.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Более 58 процентов составили расходы на финансирование социальной сферы. Бюджет носит программный характер – в рамках муниципальных целевых программ были профинансированы расходные обязательства на общую сумму  1 973 705,4 тыс. рублей или 99,5%.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состоянию на 1 января 2020 года просроченной кредиторской задолженности по обязательствам бюджета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нет.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Инициативное </w:t>
      </w:r>
      <w:proofErr w:type="spellStart"/>
      <w:r w:rsidRPr="00F2740C">
        <w:rPr>
          <w:rFonts w:ascii="Times New Roman" w:hAnsi="Times New Roman" w:cs="Times New Roman"/>
          <w:i/>
          <w:sz w:val="28"/>
          <w:szCs w:val="28"/>
        </w:rPr>
        <w:t>бюджетирование</w:t>
      </w:r>
      <w:proofErr w:type="spellEnd"/>
      <w:r w:rsidRPr="00F2740C">
        <w:rPr>
          <w:rFonts w:ascii="Times New Roman" w:hAnsi="Times New Roman" w:cs="Times New Roman"/>
          <w:i/>
          <w:sz w:val="28"/>
          <w:szCs w:val="28"/>
        </w:rPr>
        <w:t>.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 2019 году населённые пункты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приняли участие в  конкурсе проектов развития общественной инфраструктуры, основанных на местных инициативах. Победителями стали  село Григорьевка и село Возрождение (обустройство детской площадки), село Трудовое (установка хоккейной коробки)</w:t>
      </w:r>
      <w:r w:rsidRPr="00F2740C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, село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>Мещеряковка</w:t>
      </w:r>
      <w:proofErr w:type="spellEnd"/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(благоустройство территории мест захоронения).  Победители в 2020 году провели мероприятия  по отбору подрядчика и выполнению работ.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Победители  конкурса 2018 года -  это село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Перовка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(благоустройство территории мест захоронения), посёлок Казанка (обустройство детской площадки), село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(благоустройство территории мест захоронения) в отчётном  году реализовали данные проекты на своих территориях.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Муниципальное образование на протяжении нескольких лет входит  в число лидеров при подведении </w:t>
      </w:r>
      <w:hyperlink r:id="rId10" w:history="1">
        <w:r w:rsidRPr="00F2740C">
          <w:rPr>
            <w:rFonts w:ascii="Times New Roman" w:hAnsi="Times New Roman" w:cs="Times New Roman"/>
            <w:sz w:val="28"/>
          </w:rPr>
          <w:t>итогов оценки качества управления финансами</w:t>
        </w:r>
      </w:hyperlink>
      <w:r w:rsidRPr="00F2740C">
        <w:rPr>
          <w:rFonts w:ascii="Times New Roman" w:hAnsi="Times New Roman" w:cs="Times New Roman"/>
          <w:sz w:val="28"/>
          <w:szCs w:val="28"/>
        </w:rPr>
        <w:t xml:space="preserve"> и повышения эффективности бюджетных расходов.  В 2019 году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городской округ стал лауреатом в номинации «За открытость и прозрачность управления финансами»  </w:t>
      </w:r>
      <w:hyperlink r:id="rId11" w:history="1">
        <w:r w:rsidRPr="00F2740C">
          <w:rPr>
            <w:rFonts w:ascii="Times New Roman" w:hAnsi="Times New Roman" w:cs="Times New Roman"/>
            <w:sz w:val="28"/>
          </w:rPr>
          <w:t xml:space="preserve"> XII Всероссийского конкурса «Лучшее муниципальное образование России в сфере управления </w:t>
        </w:r>
        <w:r w:rsidRPr="00F2740C">
          <w:rPr>
            <w:rFonts w:ascii="Times New Roman" w:hAnsi="Times New Roman" w:cs="Times New Roman"/>
            <w:sz w:val="28"/>
          </w:rPr>
          <w:lastRenderedPageBreak/>
          <w:t>общественными финансами»</w:t>
        </w:r>
      </w:hyperlink>
      <w:r w:rsidRPr="00F2740C">
        <w:rPr>
          <w:rFonts w:ascii="Times New Roman" w:hAnsi="Times New Roman" w:cs="Times New Roman"/>
          <w:sz w:val="28"/>
          <w:szCs w:val="28"/>
        </w:rPr>
        <w:t>, награждён Дипломом Сообщества финансистов России.  Муниципальное образование получило дотацию на поддержку мер по обеспечению сбалансированности бюджета по направлению «Стимулирование повышения уровня социально-экономического развития  и качества управления финансами»  в сумме 617,0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О контрактной системе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Закупка товаров, работ и услуг администрацией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осуществляется согласно Федеральному закону от 05.04.2013 года № 44-ФЗ «О контрактной системе в сфере закупок товаров, работ и услуг для обеспечения государственных и муниципальных нужд» (далее – закон о контрактной системе).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 рамках совершенствования условий, процедур и механизмов  муниципальных закупок, в том числе путём расширения практики проведения  открытых аукционов в электронной форме, осуществлены закупки в 2019 году (от совокупного годового объема закупок 139366,4 тыс. руб.), путём проведения: открытых аукционов в электронной форме на 124846,5 тыс. руб.,(89,6%), закупки у единственного поставщика - 14519,9 тыс. руб. (10,42%).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Нормативно-правовую базу для осуществления закупок составляют постановление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от 29.08.2019 г. № 1798-п «О создании Единой комиссии по осуществлению закупок товаров, работ, услуг для нужд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округ»,  постановление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от 25.01.2017 г. № 222-п «Об организации контрактной службы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 муниципального образования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Оренбургской области». 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Стимулирование развития жилищного строительства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качестве первоочередных в округе решаются вопросы строительства объектов социальной сферы.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рамках подпрограммы «Комплексное освоение и развитие территорий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Оренбургской области» муниципальной программы «Стимулирование развития жилищного строительства в Соль-Илецком городском округе Оренбургской области» построено и введено в эксплуатацию три объекта инженерной инфраструктуры по проектам жилищного строительства, получившим государственную поддержку: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участка компактной жилой застройки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Саратовка, п. Кирпичный завод, п.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инженерными сетями.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рамках этих проектов в сельских населённых пунктах построены сети газоснабжения, водоснабжения и электроснабжения. Фактическая мощность построенных и введённых в эксплуатацию объектов составляет 17,4 км. Объём финансирования на строительство этих объектов в 2019 году составил 36 064,1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от 01.10.2019  № 2062-п «Об утверждении предельной стоимости работ по капитальному ремонту, размера взноса в соответствии с краткосрочным планом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2014-2023 годах» на 2020-2022 годы на территории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округ:</w:t>
      </w:r>
      <w:proofErr w:type="gramEnd"/>
    </w:p>
    <w:p w:rsidR="00F2740C" w:rsidRPr="00F2740C" w:rsidRDefault="00F2740C" w:rsidP="00F2740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проведён капитальный ремонт крыш по адресу: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Соль-Илецк,             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Сорокинская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д. 2. Стоимость  работ составила 1317 534,  рублей.</w:t>
      </w:r>
    </w:p>
    <w:p w:rsidR="00F2740C" w:rsidRPr="00F2740C" w:rsidRDefault="00F2740C" w:rsidP="00F2740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По муниципальной программе «Содержание и развитие  жилищно-коммунального хозяйства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округ» финансирование в 2019 году составляло  17 458,50 тыс. руб., освоено 15974,13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Программа включает основные мероприятия: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1. Развитие и содержание систем и объектов коммунальной инфраструктуры.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В рамках областной программы «Обеспечение качественными услугами жилищно-коммунального хозяйства населения Оренбургской области в 2014-2020 годах»  выполнены работы по капитальному ремонту  водопроводов по ул. Ленина и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Герасимовская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Общая сумма по соглашению составляет 2246,446 тыс. руб.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По объекту - Капитальный ремонт водопровода по ул. Ленина г. Соль-Илецка общая сумма - 701,348 тыс. руб., из которой: бюджет области - 652,300 тыс. руб., бюджет округа -  49,048 тыс. руб.</w:t>
      </w:r>
      <w:r w:rsidRPr="00F2740C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По объекту - Капитальный ремонт водопровода по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Герасимовская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г. Соль-Илецка – общая сумма</w:t>
      </w:r>
      <w:r w:rsidRPr="00F2740C">
        <w:rPr>
          <w:rFonts w:ascii="Times New Roman" w:hAnsi="Times New Roman" w:cs="Times New Roman"/>
          <w:sz w:val="28"/>
          <w:szCs w:val="28"/>
        </w:rPr>
        <w:tab/>
        <w:t xml:space="preserve">1714,187 тыс. руб. из которой: бюджет области  - 1 594,200 тыс. руб., бюджет округа - 119,987 тыс. руб. </w:t>
      </w:r>
      <w:r w:rsidRPr="00F2740C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Также в рамках данного мероприятия производилось  возмещение затрат по содержанию объектов муниципальной собственности, находящихся в хозяйственном ведении у муниципальных унитарных предприятий, связанных с устранением порывов на инженерных  сетях, заменой оборудования и т.д.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Приобретены таблички (аншлаги) с наименованием улиц 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для микрорайонов Северный и Западный.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2. Основное мероприятие «Содержание муниципального жилищного фонда, обеспечение его сохранности».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соответствии с Законом Оренбургской области от 12.09.2013 г. № 1762/539 -V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«Об организации проведения капитального ремонта  общего имущества  в многоквартирных домах, расположенных на территории Оренбургской области», постановлением Правительства Оренбургской области от 24.11.2016 г. № 889-п «Об утверждении минимального размера взноса на капитальный ремонт общего имущества  в многоквартирных домах, расположенных на территории Оренбургской области», осуществлялась согласно соглашения с НО «Фонд модернизации ЖКХ Оренбургской области» оплата взносов за капитальный ремонт муниципального жилищного фонда, сумма соглашения 120,0 тыс. руб.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Согласно соглашению о предоставлении дотации, распределяемой исходя из необходимости реализации социально значимых мероприятий, администрацией округа было приобретено быстросъёмное экскаваторное оборудование для осуществления коммунальной деятельности. Сумма муниципального контракта составила 357 333,33 тыс. руб.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№ 2 от 06.06.2019 г. о  предоставлении дотации бюджету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была приобретена комбинированная дорожная машина с поливомоечным,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пескоразбрасывающим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оборудованием, передним поворотным отвалом, межбазовой щёткой в количестве 2-х единиц. Сумма муниципального контракта составила 10 000 тыс. руб.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Благоустройство и озеленение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Муниципальная программа «Благоустройство  и озеленение на территории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округ». Целью Программы является формирование комфортной среды жизнедеятельности и благоустройство  территорий городского округа. Реализация Программы позволяет  повысить уровень благоустроенности городского округа. В 2019 г. финансирование по программе составляло  4500,8 тыс. руб., освоено - 4416,446 тыс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уб.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течение 2019 году выполнялись работы по санитарному содержанию территории округа, приобретению и высадке рассады цветов, опиловке и спилу деревьев.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целях объединения усилий для решения задач благоустройства, улучшения санитарного  состояния  территорий  общего пользования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проводились общегородские субботники, месячники по наведению санитарного порядка, организовывались акции -  «Чистые берега»,  «Эстафета Чистоты», в которых принимали участие предприятия округа.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lastRenderedPageBreak/>
        <w:t>Пассажирские перевозки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Из 59 населённых пунктов района неохваченными пассажирскими перевозками в 2019 году оставались 7 сельских населённых пунктов,  с общей численностью населения 2056 человек (охват населения пассажирскими перевозками составлял 96%). Доля населения, проживающего в населённых пунктах, не имеющих регулярного автобусного сообщения с административным центром городского округа, в общей численности населения городского округа за 2019 год составила 4%. В неохваченных перевозками сёлах пассажирское обеспечение выполняется маршрутными такси. В 2020 году, после проведения электронных аукционов, обеспечены транспортным сообщением населённые пункты по направлению села Казанка (Угольное, Возрождение, Григорьевка,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Казанка). В настоящее время неохваченными пассажирскими перевозками остаются 2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населённых пункта.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Контейнерные площадки ТКО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 2019 году за счёт средств областного (97% - 6 653,8 тыс. руб.) и местного (3% - 205,79 тыс. руб.) бюджетов обустроено 24 новых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контейнерных площадки твёрдых коммунальных отходов (ТКО) заглубленного типа (в микрорайоне Западный («Зелёный Клин» – 13), в микрорайоне Восточный («Ташкент» - 11).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Также в рамках тройственного соглашения с Курортом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Соль-Илецке обустроено 2 новых 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контейнерных площадки ТКО заглубленного типа и </w:t>
      </w:r>
      <w:r w:rsidRPr="00F2740C">
        <w:rPr>
          <w:rFonts w:ascii="Times New Roman" w:hAnsi="Times New Roman" w:cs="Times New Roman"/>
          <w:sz w:val="28"/>
          <w:szCs w:val="28"/>
        </w:rPr>
        <w:t xml:space="preserve">приведены в соответствие нормам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77 действующих площадок ТКО</w:t>
      </w:r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 рамках средств местного бюджета в сумме 2 953,3 тыс. руб. обустроены (приведены в соответствие нормам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) 58 контейнерных площадок в сельских населённых пунктах, в том числе в с. Саратовка – 16 , п. Кирпичный Завод – 8, ст. Илецк - 2 – 1, с. Григорьевка – 20, п.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– 6, ст.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– 2, п. Казанка – 5.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 оказанию услуг по уборке и надлежащему содержанию мусорных контейнерных площадок в 2019 году были заключены муниципальные контракты с МУП «РЖКХ» на общую сумму около 2 млн. руб.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Восстановление электроосвещения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за счёт средств областного (95% - 3 877,1 тыс. руб.) и местного бюджетов (5% - 204,06 тыс. руб.) проведено восстановление уличного освещения в количестве 1000 новых светильников, в том числе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Соль-Илецке – </w:t>
      </w:r>
      <w:r w:rsidRPr="00F2740C">
        <w:rPr>
          <w:rFonts w:ascii="Times New Roman" w:hAnsi="Times New Roman" w:cs="Times New Roman"/>
          <w:b/>
          <w:sz w:val="28"/>
          <w:szCs w:val="28"/>
        </w:rPr>
        <w:t>352</w:t>
      </w:r>
      <w:r w:rsidRPr="00F274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 сельских населённых пунктах установлено </w:t>
      </w:r>
      <w:r w:rsidRPr="00F2740C">
        <w:rPr>
          <w:rFonts w:ascii="Times New Roman" w:hAnsi="Times New Roman" w:cs="Times New Roman"/>
          <w:b/>
          <w:sz w:val="28"/>
          <w:szCs w:val="28"/>
        </w:rPr>
        <w:t>648</w:t>
      </w:r>
      <w:r w:rsidRPr="00F2740C">
        <w:rPr>
          <w:rFonts w:ascii="Times New Roman" w:hAnsi="Times New Roman" w:cs="Times New Roman"/>
          <w:sz w:val="28"/>
          <w:szCs w:val="28"/>
        </w:rPr>
        <w:t xml:space="preserve"> новых уличных светильник</w:t>
      </w:r>
      <w:r w:rsidRPr="00F2740C">
        <w:rPr>
          <w:rFonts w:ascii="Times New Roman" w:hAnsi="Times New Roman" w:cs="Times New Roman"/>
          <w:b/>
          <w:sz w:val="28"/>
          <w:szCs w:val="28"/>
        </w:rPr>
        <w:t>ов</w:t>
      </w:r>
      <w:r w:rsidRPr="00F2740C">
        <w:rPr>
          <w:rFonts w:ascii="Times New Roman" w:hAnsi="Times New Roman" w:cs="Times New Roman"/>
          <w:sz w:val="28"/>
          <w:szCs w:val="28"/>
        </w:rPr>
        <w:t xml:space="preserve">, в том числе: с. Буранное - 119, с. Дружба - 26, с. Первомайское - 48,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Линёвка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- 138, х.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Каблово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- 4,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Кумакское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- 47, п. Шахтный - 90, п.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- 64, с. Боевая Гора - 46, ст. Маячная – </w:t>
      </w:r>
      <w:r w:rsidRPr="00F2740C">
        <w:rPr>
          <w:rFonts w:ascii="Times New Roman" w:hAnsi="Times New Roman" w:cs="Times New Roman"/>
          <w:b/>
          <w:sz w:val="28"/>
          <w:szCs w:val="28"/>
        </w:rPr>
        <w:t>25</w:t>
      </w:r>
      <w:r w:rsidRPr="00F2740C">
        <w:rPr>
          <w:rFonts w:ascii="Times New Roman" w:hAnsi="Times New Roman" w:cs="Times New Roman"/>
          <w:sz w:val="28"/>
          <w:szCs w:val="28"/>
        </w:rPr>
        <w:t>, х. Корольки - 3, х. Роте-Фане - 5, д. Возрождение - 24, пос. Казанка - 9.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рамках реализации программы «Светлая область» установлено 332 новых светильника в сёлах Михайловка, Елшанка, Беляевка,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Перовка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Ащебутак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Ветлянка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Кумакское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Мещеряковка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Малопрудное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Смирновка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, Дружба, п. </w:t>
      </w:r>
      <w:proofErr w:type="spellStart"/>
      <w:r w:rsidRPr="00F2740C">
        <w:rPr>
          <w:rFonts w:ascii="Times New Roman" w:hAnsi="Times New Roman" w:cs="Times New Roman"/>
          <w:b/>
          <w:sz w:val="28"/>
          <w:szCs w:val="28"/>
        </w:rPr>
        <w:t>Маякское</w:t>
      </w:r>
      <w:proofErr w:type="spellEnd"/>
      <w:r w:rsidRPr="00F2740C">
        <w:rPr>
          <w:rFonts w:ascii="Times New Roman" w:hAnsi="Times New Roman" w:cs="Times New Roman"/>
          <w:b/>
          <w:sz w:val="28"/>
          <w:szCs w:val="28"/>
        </w:rPr>
        <w:t xml:space="preserve"> и ст. Маячная.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также проводились работы по текущему содержанию и ремонту уличного освещения на общую сумму свыше 1 млн. руб.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Состояние автомобильных дорог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Одним из основных факторов развития территории является состояние автомобильных дорог. Доля протяжённости автомобильных дорог общего пользования местного значения, не отвечающих нормативным требованиям, в общей протяжённости автомобильных дорог общего пользования местного значения составила – 56,1%.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является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высокодотационным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мероприятия по ремонту, капитальному ремонту и реконструкции осуществляются только с привлечением средств из федерального и областного бюджетов.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В 2019 году выполнена реконструкция дорог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Соль-Илецке на сумму 503 058, 524 тыс. руб. и текущий ремонт дорог в городе и сельских населённых пунктах на сумму 18 871,700 тыс. руб.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реализуется муниципальная программа: «Формирование современной городской среды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Оренбургской области». Её целью является реализация комплекса мероприятий по повышению качества и комфорта городской среды.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Результаты реализации данной муниципальной программы – приведение в нормативное состояние дворовых территорий и территорий общего пользования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2019 году на реализацию данной муниципальной программы было направлено 19 431 110,00 рублей. Из них: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на благоустройство территории сквера имени Ленина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Соль-Илецке - 10 381 110,00 рублей;</w:t>
      </w: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на благоустройство дворовой территории многоквартирных жилых домов, расположенных по адресу: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Соль-Илецк,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Орская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д. 108, 108А,110, 112, 114, ул. Красноармейская, д. 121, 123 - 8 900 000,00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Архитектура, градостроительство и земельные отношения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>Жилищное строительство и обеспечение граждан жильём.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В 2019 году введено в эксплуатацию 21553 кв. м жилых помещений, что составляет 104,8% к плановым объёмам ввода жилья и  99% к объёмам ввода жилья за 2018 год.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Индивидуальными застройщиками введены в эксплуатацию жилые дома общей площадью18 812 кв. м., что составляет  87,3 % от общего объёма ввода жилья.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Ввод в эксплуатацию многоквартирных жилых домов составил 2741 кв. м. или  12,7 % от общего объёма ввода жилья.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Доля многоквартирных домов, расположенных на земельных участках, в отношении которых осуществлён государственный кадастровый учёт за 2019 год составила 65,0%.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2296"/>
        <w:gridCol w:w="708"/>
        <w:gridCol w:w="938"/>
        <w:gridCol w:w="938"/>
        <w:gridCol w:w="938"/>
        <w:gridCol w:w="938"/>
        <w:gridCol w:w="938"/>
        <w:gridCol w:w="938"/>
        <w:gridCol w:w="938"/>
      </w:tblGrid>
      <w:tr w:rsidR="00F2740C" w:rsidRPr="00F2740C" w:rsidTr="00F2740C">
        <w:trPr>
          <w:trHeight w:val="345"/>
        </w:trPr>
        <w:tc>
          <w:tcPr>
            <w:tcW w:w="1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 деятельности органов местного самоуправления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8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Отчетная информация</w:t>
            </w:r>
          </w:p>
        </w:tc>
      </w:tr>
      <w:tr w:rsidR="00F2740C" w:rsidRPr="00F2740C" w:rsidTr="00F2740C">
        <w:trPr>
          <w:trHeight w:val="465"/>
        </w:trPr>
        <w:tc>
          <w:tcPr>
            <w:tcW w:w="1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</w:tr>
      <w:tr w:rsidR="00F2740C" w:rsidRPr="00F2740C" w:rsidTr="00F2740C">
        <w:trPr>
          <w:trHeight w:val="81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17,97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F2740C" w:rsidRPr="00F2740C" w:rsidTr="00F2740C">
        <w:trPr>
          <w:trHeight w:val="81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sz w:val="28"/>
                <w:szCs w:val="28"/>
              </w:rPr>
              <w:t>Число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sz w:val="28"/>
                <w:szCs w:val="28"/>
              </w:rPr>
              <w:t>ед.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228,0</w:t>
            </w:r>
          </w:p>
        </w:tc>
      </w:tr>
      <w:tr w:rsidR="00F2740C" w:rsidRPr="00F2740C" w:rsidTr="00F2740C">
        <w:trPr>
          <w:trHeight w:val="540"/>
        </w:trPr>
        <w:tc>
          <w:tcPr>
            <w:tcW w:w="1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sz w:val="28"/>
                <w:szCs w:val="28"/>
              </w:rPr>
              <w:t>Общее число многоквартирны</w:t>
            </w:r>
            <w:r w:rsidRPr="00F2740C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х домов, имеющих разрешение на ввод в эксплуатацию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228,0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b/>
          <w:color w:val="000000"/>
          <w:sz w:val="28"/>
          <w:szCs w:val="28"/>
        </w:rPr>
        <w:t>Выдача разрешений на установку рекламных конструкций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В 2019 году на основании расположения рекламных конструкций отделом архитектуры, градостроительства и земельных отношений был проведён аукцион на право заключения договора на установку и эксплуатацию рекламных конструкций, по итогам которого было выдано 10 разрешений.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Земельные участки многодетным семьям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1222 многодетные семьи. Количество поданных многодетными семьями заявлений о предоставлении земельных участков в собственность бесплатно - 779. По состоянию на 31 декабря 2019 года на получение земельного участка в собственность в очереди находится 427 многодетных семей.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За период с 2012 года по 31 декабря 2019 года всего предоставлено 334 земельных участка, что составляет 42,9%. В 2019 году было предоставлено 22 земельных участка многодетным семьям, за аналогичный период в 2018 году было предоставлено 5 земельных участков многодетным семьям.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2 многодетные семьи, получили единовременную денежную выплату взамен предоставления земельного участка в собственность бесплатно.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на 2020 год имеются 89 земельных участков, готовых к предоставлению многодетным семьям. </w:t>
      </w:r>
      <w:r w:rsidRPr="00F2740C">
        <w:rPr>
          <w:rFonts w:ascii="Times New Roman" w:hAnsi="Times New Roman" w:cs="Times New Roman"/>
          <w:b/>
          <w:sz w:val="28"/>
          <w:szCs w:val="28"/>
        </w:rPr>
        <w:t>В настоящее время ведутся работы по получению сведений о технических условиях подключения (технологического присоединения) объектов к сетям инженерно-технического обеспечения.</w:t>
      </w:r>
      <w:r w:rsidRPr="00F2740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Управление муниципальным имуществом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на основании заключённых муниципальных контрактов, договоров на проведение кадастровых работ в отношении объектов недвижимого имущества, были проведены кадастровые работы с подготовкой технических планов в отношении 116 ед., в том числе: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1. Газопроводы в количестве 37 ед. (осуществлена постановка на ГКУ и регистрация права муниципальной собственности);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2. Объекты ЖКХ в количестве 43 ед. (подготовлены технические планы и переданы в юридический отдел для признания права муниципальной собственности в судебном порядке);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3. Автомобильные дороги в количестве 24 ед. (подготовлены технические планы и переданы в юридический отдел для признания права муниципальной собственности в судебном порядке);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4. Иные объекты недвижимого имущества (скверы, парки, гаражи) в количестве 12 ед. (подготовлены технические планы и переданы в юридический отдел для признания права муниципальной собственности в судебном порядке).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А также были проведены кадастровые работы в отношении 67 бесхозяйных объектов недвижимого имущества (газопроводы, нежилые здания), расположенных как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Соль-Илецке, так и на территории населённых пунктов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 По результатам образования земельных участков под ними, будет осуществлена постановка на ГКУ с одновременной постановкой на учёт в качестве бесхозяйного объекта недвижимого имущества.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Проведено обследование технического состояния следующих объектов недвижимого имущества муниципальной собственности: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1. Здание школы в п.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Землянское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2. Здание детского сада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Новоилецк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3. Здание железнодорожного депо.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основании заключённых муниципальных контрактов, договоров исполнителями работ были подготовлены отчёты о рыночной стоимости 100 объектов недвижимого имущества, сооружений (газопроводы, нежилые здания, помещения), расположенных 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округа, с целью установления балансовой стоимости.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основании утвержденного прогнозного плана приватизации муниципального имущества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2019 год, решением Совета депутатов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№ 761 от 06.02.2019 года, отделом по управлению муниципальным имуществом были организованы торги по продаже нежилого здания, общей площадью 1740,0 кв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, расположенного по адресу: Оренбургская область,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округ, п.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Землянский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дом № 25. Но в связи с тем, что на момент определения участников торгов был один участник, торги были признаны несостоявшимися.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Также были объявлены торги по предоставлению в аренду нежилого помещения  площадью 72,6 кв. м., кадастровый номер 56:47:0101068:412, расположенного по адресу: Оренбургская область,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Соль-Илецк, ул. Оренбургская, 14.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 2019 году в Перечень муниципального имущества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и организациям, образующим инфраструктуру поддержки субъектов малого и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был включен дополнительно ещё один объект недвижимого имущества, расположенный по адресу: Оренбургская область,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Соль-Илецк, ул. Оренбургская, д.14, нежилое помещение 5, кадастровый номер </w:t>
      </w:r>
      <w:r w:rsidRPr="00F27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56:47:0101068:412, площадью 72,6 кв.м., и таким образом, в данном Перечне на сегодняшний день находится 3 объекта недвижимого имущества, один из которых находится в аренде у ООО «ТВ Спутник».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К концу 2019 года была завершена работа по установлению оснований проживания граждан в 325 многоквартирных домах, находящихся в реестре муниципального имущества, с последующим исключением из реестра муниципального имущества жилых помещений, находящихся в частной собственности граждан. По результатам данной работы, два жилых помещения были переданы по договорам найма медицинским работникам, в отношении жилого помещения, расположенного по адресу: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Соль-Илецк, ул. Парижских Коммунаров, д.104, кв. 4 было зарегистрировано право муниципальной собственности, в порядке выморочного имущества.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Муниципальный контроль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>отделом муниципального контроля было проведено 19 внеплановых выездных и документарных проверок в отношении физических лиц в рамках муниципального земельного контроля.</w:t>
      </w:r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По требованию прокуратуры была проведена 1 внеплановая выездная проверка в отношении юридического лица.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>По результатам  проведения проверок выдано  13  предписаний об устранении выявленных нарушений земельного законодательства Российской Федерации. 14 материалов были направлены в органы, осуществляющие государственный земельный надзор, для привлечения нарушителей к административной ответственности.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При проведении проверок в рамках муниципального земельного контроля были выявлены нарушения земельного законодательства в части использования земельных участков лицами, не имеющими предусмотренных законодательством РФ прав на земельные участки, согласно ст. 7.1.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eastAsia="en-US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РФ данные деяния являются административным правонарушением.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2019 году специалистами отдела муниципального контроля были собраны материалы на 2-х юридических лиц и 3-х индивидуальных предпринимателей, осуществляющих свою хозяйственную деятельность на территории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округа, без заключённых договоров на вывоз и утилизацию твёрдых бытовых отходов. Данные материалы были направлены в прокуратуру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района для принятия мер. В отношении индивидуальных предпринимателей  возбуждено 3 дела об административных правонарушениях по ст.  6.3.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РФ. (Нарушение законодательства в области обеспечения санитарно-эпидемиологического </w:t>
      </w:r>
      <w:r w:rsidRPr="00F2740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благополучия населения), информация о 2 юридических лицах направлена прокуратурой района в ЦТО Управления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Роспотребнадзора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по Оренбургской области, для принятия мер в рамках предоставленных им  полномочий.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соответствии с  постановлением  администрации муниципального образования 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городской округ  № 1331-п  от 26.06.2019 г. «О создании межведомственной комиссии по противодействию «теневому» сектору экономики в муниципальном образовании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городской округ», специалисты отдела участвовали в работе в составе группы сотрудников  администрации  округа, ОМВД РФ по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городскому округу,  ОВМ ОМВД по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городскому округу, Межрайонной инспекции Федеральной налоговой службы России № 5 по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Оренбургской области, отдела ГПН и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МЧС в г. Соль-Илецке, Соль-Илецк ГУЭС, ООО «Природа». Осуществлялись выезды в целях противодействия незаконной предпринимательской деятельности субъектов гражданских правоотношений, которая развивается вне государственного (муниципального) учёта и контроля, а также неформальной занятости граждан.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Всего было осуществлено 17 выездов, по 229 объектам, расположенным на территории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. Соль-Илецка, из которых 141 объект был обследован. Уполномоченными органами составлены протоколы об административном правонарушении. Предположительно на территории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>. Соль-Илецка собственниками используется 1379 объектов для временного размещения и проживания отдыхающих. Полученная информация, в ходе данных мероприятий была учтена при формировании проекта плана проведения плановых проверок в отношении физических лиц на 2020 год. Совместно с ИФНС проводилась профилактическая и разъяснительная работа с собственниками объектов.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Специалисты отдела участвовали в межведомственной комиссии по выявлению фактов, засорения земель сельскохозяйственного назначения и незаконной добычи подземных вод для орошения сельскохозяйственных угодий, обследовано 43 земельных участка, площадью 644 га. Были выявлены скважины незаконной добычи подземных вод для орошения сельхозугодий гражданами без лицензии на использование; специалистами отдела составлено 22 акта обследования земельных участков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сельхозназначения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, выявлено 2 факта  полива воды из рек.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По окончанию мероприятий 19 материалов были переданы в прокуратуру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района, 9 материалов направлены в ОМВД России по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городскому округу, для принятия мер в рамках предоставленных им  полномочий.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Отделом муниципального контроля в 2019 году в соответствии с программой профилактики нарушений обязательных требований законодательства выносились предостережения о недопустимости нарушения обязательных требований. Было вынесено 50 предостережений, из них 15 - выдано в рамках осуществления муниципального земельного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контроля на предмет недопустимости нецелевого использования земельных участков.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На вынесенные предостережения получены уведомления об исполнении предостережения о недопустимости нарушения обязательных требований. Подконтрольные субъекты принимают необходимые меры к устранению факторов приводящих к нарушению земельного законодательства. В настоящее время 9 лиц привели виды целевого назначения своих земельных участков в соответствие с фактическим использованием.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Учитывая, что с 1 января 2020 года в ст. 394 части второй Налогового кодекса вносятся изменения, а именно максимальный коэффициент, применяемый при расчёте земельного налога на земельные участки приобретённые (предоставленные) для индивидуального жилищного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строительства, используемые в предпринимательской деятельности составит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1,5 вместо 0,3.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Таким образом, применительно к данным 9 земельным участкам суммарный земельный налог должен составить, за налоговый период - 31 141 руб.  (до этого он составлял 1536 руб.) то есть кадастровая стоимость земельных участков увеличилась практически в 20 раз, коэффициент, приминаемый, при расчёте земельного налога вместо 0,3 составляет 1,5.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Данная практика будет продолжена в 2020 году, указанные мероприятия уже внесены в программу профилактики нарушений обязательных требований при осуществлении муниципального контроля на следующий год.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поручению Министерства природных ресурсов, экологии и имущественных отношений Оренбургской области, специалистами отдела была  проведена работа по обследованию земель сельскохозяйственного назначения, расположенных 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округа, общая площадь обследуемых земельных участков составила свыше 5 тыс. га. Полученная информация была оформлена надлежащим образом и направлена в Министерства природных ресурсов, экологии и имущественных отношений Оренбургской области.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Исполнены мероприятия в сфере муниципального контроля  за сохранностью  автомобильных  дорог  общего  пользования в 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Соль-Илецке.  Специалистами отдела совместно со специалистами отдела по строительству, транспорту, ЖКХ, дорожному хозяйству, газификации и связи проводилась работа по обследованию состояния дорожных знаков, расположенных на территории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Соль-Илецка, с целью выявления и устранения недостатков, возникающих в процессе эксплуатации дорожных знаков и создающих помехи для движения транспорта и пешеходов, угрозу их безопасности.  Было обследовано 64 перекрестка улиц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Соль-Илецка, по итогам выявленных нарушений ответственному юридическому лицу МКУ «УГХ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округа», вынесено предостережение о недопустимости нарушения обязательных требований.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 В  сфере муниципального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специалистами отдела проводились контрольно-рейдовые мероприятия. Были выявлены два факта добычи общераспространённых полезных ископаемых без лицензии, о чём незамедлительно сообщено в дежурную часть ОМВД России по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городскому округу, для принятия мер в рамках предоставленных им  полномочий.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Исполнены мероприятия в сфере муниципального контроля в области использования и охраны особо охраняемых природных территорий местного значения.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Проведена  работа  по 85 жалобам и обращениям граждан  и  должностных   лиц,  с  проверкой указанной ими информации и принятия решений по ней; на все жалобы и обращения направлены  ответы в установленные законом сроки.  Жалобы  на  принятые решения не поступали.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</w:t>
      </w:r>
      <w:r w:rsidRPr="00F2740C">
        <w:rPr>
          <w:rFonts w:ascii="Times New Roman" w:hAnsi="Times New Roman" w:cs="Times New Roman"/>
          <w:b/>
          <w:bCs/>
          <w:sz w:val="28"/>
          <w:szCs w:val="28"/>
        </w:rPr>
        <w:t>Сельское хозяйство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Главной целью деятельности управления сельского хозяйства (УСХ) является эффективное функционирование системы агропромышленного производства, регулирование и поддержка сельскохозяйственной отрасли.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Специалисты управления принимают участие в семинарах и совещаниях, проводимых на зональном и областном уровнях, а также регулярно проводят совещания с руководителями и специалистами предприятий,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функционируют 17 средних сельскохозяйственных предприятий,  118 предприятий малых форм хозяйствования – это крестьянские (фермерские) хозяйства, ИП и 8372 личных подсобных хозяйства, два сельскохозяйственных кооператива, одно обслуживающее предприятия (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зерновая компания). 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В результате проводимой УСХ работы с подпрограммой «Поддержка малых форм хозяйствования»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поддержку получили 4 начинающих фермера (11,7 млн. руб.); одна семейно-животноводческая ферма (5,9 млн. руб.).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Два раза в месяц (по субботам) на городской площади провод</w:t>
      </w:r>
      <w:r w:rsidRPr="00F2740C">
        <w:rPr>
          <w:rFonts w:ascii="Times New Roman" w:hAnsi="Times New Roman" w:cs="Times New Roman"/>
          <w:b/>
          <w:sz w:val="28"/>
          <w:szCs w:val="28"/>
        </w:rPr>
        <w:t>илась</w:t>
      </w:r>
      <w:r w:rsidRPr="00F2740C">
        <w:rPr>
          <w:rFonts w:ascii="Times New Roman" w:hAnsi="Times New Roman" w:cs="Times New Roman"/>
          <w:sz w:val="28"/>
          <w:szCs w:val="28"/>
        </w:rPr>
        <w:t xml:space="preserve"> ярмарка «Выходного дня», на которой сельскохозяйственные производители округа имеют возможность реализовать свою продукцию. Места  предоставляются бесплатно. За 2019 год проведено 26 ярмарок «Выходного дня».  Сельхозпроизводители участвуют и в ярмарках регионального масштаба.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УСХ работает в тесном контакте с руководителями и специалистами сельскохозяйственных предприятий и крестьянских (фермерских) хозяйств. </w:t>
      </w:r>
      <w:r w:rsidRPr="00F2740C">
        <w:rPr>
          <w:rFonts w:ascii="Times New Roman" w:hAnsi="Times New Roman" w:cs="Times New Roman"/>
          <w:sz w:val="28"/>
          <w:szCs w:val="28"/>
        </w:rPr>
        <w:t xml:space="preserve">В течение года им оказывалась консультативная, финансово-экономическая, организационная и практическая помощь. Своевременно оформлялись документы на получение субсидий.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На развитие агропромышленного комплекса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в 2019 году в виде субсидий получено  69,2 млн. руб. (за 2018-й - 65,8 млн. руб.).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Субсидии получены по следующим направлениям:</w:t>
      </w:r>
    </w:p>
    <w:tbl>
      <w:tblPr>
        <w:tblW w:w="5008" w:type="pct"/>
        <w:jc w:val="center"/>
        <w:tblInd w:w="-893" w:type="dxa"/>
        <w:tblLook w:val="00A0"/>
      </w:tblPr>
      <w:tblGrid>
        <w:gridCol w:w="5928"/>
        <w:gridCol w:w="1959"/>
        <w:gridCol w:w="1698"/>
      </w:tblGrid>
      <w:tr w:rsidR="00F2740C" w:rsidRPr="00F2740C" w:rsidTr="00F2740C">
        <w:trPr>
          <w:trHeight w:val="278"/>
          <w:tblHeader/>
          <w:jc w:val="center"/>
        </w:trPr>
        <w:tc>
          <w:tcPr>
            <w:tcW w:w="30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Наименование вида поддержки</w:t>
            </w:r>
          </w:p>
        </w:tc>
        <w:tc>
          <w:tcPr>
            <w:tcW w:w="1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Сумма поддержки (млн. руб.)</w:t>
            </w:r>
          </w:p>
        </w:tc>
      </w:tr>
      <w:tr w:rsidR="00F2740C" w:rsidRPr="00F2740C" w:rsidTr="00F2740C">
        <w:trPr>
          <w:trHeight w:val="337"/>
          <w:tblHeader/>
          <w:jc w:val="center"/>
        </w:trPr>
        <w:tc>
          <w:tcPr>
            <w:tcW w:w="30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2018г.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2019г.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Субсидии на развитие мясного скотоводства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8,5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8,4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Субсидии на поддержку овцеводства и козоводства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Возмещение процентных ставок по кредитам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страхование урожая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Несвязанная поддержка в области растениеводства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12,7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13,1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Несвязанная поддержка в части приобретения дизельного топлива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3,3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Субсидия на оказание несвязанной поддержки в области развития производства семенного картофеля и овощей открытого грунта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элитное семеноводство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8,0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племенное животноводство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351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реализованное молоко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Поддержка начинающих фермеров и семейных животноводческих ферм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33,6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17,7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на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грантовую</w:t>
            </w:r>
            <w:proofErr w:type="spellEnd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поддержку СПК на развитие материально-технической базы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2,7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Субсидия на развитие мелиорации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2,6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Субсидия на возмещение части затрат на приобретение с/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 техники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4,4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11,3</w:t>
            </w:r>
          </w:p>
        </w:tc>
      </w:tr>
      <w:tr w:rsidR="00F2740C" w:rsidRPr="00F2740C" w:rsidTr="00F2740C">
        <w:trPr>
          <w:trHeight w:val="409"/>
          <w:jc w:val="center"/>
        </w:trPr>
        <w:tc>
          <w:tcPr>
            <w:tcW w:w="30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65,8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69,2</w:t>
            </w:r>
          </w:p>
        </w:tc>
      </w:tr>
    </w:tbl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Растениеводство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2019 году посевные площади по всем категориям хозяйств составили  138612 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>Организационная работа по исполнению требований в области семеноводства.</w:t>
      </w:r>
      <w:r w:rsidRPr="00F2740C">
        <w:rPr>
          <w:rFonts w:ascii="Times New Roman" w:hAnsi="Times New Roman" w:cs="Times New Roman"/>
          <w:sz w:val="28"/>
          <w:szCs w:val="28"/>
        </w:rPr>
        <w:t xml:space="preserve"> Совместно с руководителями хозяйств и специалистами решаются вопросы о приобретении того или иного сорта культур.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Под урожай  2019 года для сортосмены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сортообновления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зерновых культур было закуплено  672 тонны элитных семян, которыми засеяно 5600 га (яровые и озимые).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Всего было высеяно 4580  тонн семян, из них кондиционные - 82, 0%, некондиционные – 6,0% и непроверенные - 10,0%. 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>Организационная работа по приобретению и рациональному использованию минеральных удобрений и средств защиты</w:t>
      </w:r>
      <w:r w:rsidRPr="00F2740C">
        <w:rPr>
          <w:rFonts w:ascii="Times New Roman" w:hAnsi="Times New Roman" w:cs="Times New Roman"/>
          <w:sz w:val="28"/>
          <w:szCs w:val="28"/>
        </w:rPr>
        <w:t xml:space="preserve">.  Закуплено и внесено 274 тонны действующего вещества минеральных удобрений. Внесено органических удобрений  29300  тонн на площади 950 га паров. Для борьбы с болезнями проведено протравливание 1768 тонн семян.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Химпрополка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зерновых культур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на площади 3670 га или 147% к плану.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Управлением сельского хозяйства  организуются работы по своевременному выполнению агротехнических, агрохимических  мероприятий. Осуществляется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подготовкой складских помещений к засыпке семенного материала.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Основные производственные показатели по растениеводству</w:t>
      </w:r>
    </w:p>
    <w:tbl>
      <w:tblPr>
        <w:tblW w:w="9356" w:type="dxa"/>
        <w:tblInd w:w="108" w:type="dxa"/>
        <w:tblLayout w:type="fixed"/>
        <w:tblLook w:val="00A0"/>
      </w:tblPr>
      <w:tblGrid>
        <w:gridCol w:w="4962"/>
        <w:gridCol w:w="992"/>
        <w:gridCol w:w="1134"/>
        <w:gridCol w:w="1134"/>
        <w:gridCol w:w="1134"/>
      </w:tblGrid>
      <w:tr w:rsidR="00F2740C" w:rsidRPr="00F2740C" w:rsidTr="00F2740C">
        <w:trPr>
          <w:trHeight w:val="62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2018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Отклонение +,-</w:t>
            </w:r>
          </w:p>
        </w:tc>
      </w:tr>
      <w:tr w:rsidR="00F2740C" w:rsidRPr="00F2740C" w:rsidTr="00F2740C">
        <w:trPr>
          <w:trHeight w:val="3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сельскохозяйственных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138612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134251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+4361</w:t>
            </w:r>
          </w:p>
        </w:tc>
      </w:tr>
      <w:tr w:rsidR="00F2740C" w:rsidRPr="00F2740C" w:rsidTr="00F2740C">
        <w:trPr>
          <w:trHeight w:val="34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зерновых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57727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53066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+4661</w:t>
            </w:r>
          </w:p>
        </w:tc>
      </w:tr>
      <w:tr w:rsidR="00F2740C" w:rsidRPr="00F2740C" w:rsidTr="00F2740C">
        <w:trPr>
          <w:trHeight w:val="40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Валовое производство зерна (в весе после доработки)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32920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35995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-3075</w:t>
            </w:r>
          </w:p>
        </w:tc>
      </w:tr>
      <w:tr w:rsidR="00F2740C" w:rsidRPr="00F2740C" w:rsidTr="00F2740C">
        <w:trPr>
          <w:trHeight w:val="5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Урожайность зерновых культур (с 1 га посевной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/га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</w:tc>
      </w:tr>
      <w:tr w:rsidR="00F2740C" w:rsidRPr="00F2740C" w:rsidTr="00F2740C">
        <w:trPr>
          <w:trHeight w:val="41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подсолнечника на зерно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19231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16081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+3150</w:t>
            </w:r>
          </w:p>
        </w:tc>
      </w:tr>
      <w:tr w:rsidR="00F2740C" w:rsidRPr="00F2740C" w:rsidTr="00F2740C">
        <w:trPr>
          <w:trHeight w:val="4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бахчевых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43237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45832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-2595</w:t>
            </w:r>
          </w:p>
        </w:tc>
      </w:tr>
      <w:tr w:rsidR="00F2740C" w:rsidRPr="00F2740C" w:rsidTr="00F2740C">
        <w:trPr>
          <w:trHeight w:val="41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картофеля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+24</w:t>
            </w:r>
          </w:p>
        </w:tc>
      </w:tr>
      <w:tr w:rsidR="00F2740C" w:rsidRPr="00F2740C" w:rsidTr="00F2740C">
        <w:trPr>
          <w:trHeight w:val="4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Посевная площадь овощей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-153</w:t>
            </w:r>
          </w:p>
        </w:tc>
      </w:tr>
      <w:tr w:rsidR="00F2740C" w:rsidRPr="00F2740C" w:rsidTr="00F2740C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Сев озимых под будущий урожай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31520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24217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+7303</w:t>
            </w:r>
          </w:p>
        </w:tc>
      </w:tr>
      <w:tr w:rsidR="00F2740C" w:rsidRPr="00F2740C" w:rsidTr="00F2740C">
        <w:trPr>
          <w:trHeight w:val="4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Вспахано зяби и паров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79295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82823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-3528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Снижение вспашки зяби и паров к площади 2018 года обусловлено  повышением цен на топливо. Снижение урожайности зерновых культур с 1 га посевной площади и как следствие - снижение валового производства зерна произошло из-за неблагоприятных погодных условий. 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Заготовка кормов по сельхозпредприятиям</w:t>
      </w:r>
    </w:p>
    <w:tbl>
      <w:tblPr>
        <w:tblW w:w="9265" w:type="dxa"/>
        <w:tblInd w:w="108" w:type="dxa"/>
        <w:tblLook w:val="00A0"/>
      </w:tblPr>
      <w:tblGrid>
        <w:gridCol w:w="3402"/>
        <w:gridCol w:w="1418"/>
        <w:gridCol w:w="1276"/>
        <w:gridCol w:w="1275"/>
        <w:gridCol w:w="1894"/>
      </w:tblGrid>
      <w:tr w:rsidR="00F2740C" w:rsidRPr="00F2740C" w:rsidTr="00F2740C">
        <w:trPr>
          <w:trHeight w:val="4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proofErr w:type="spellStart"/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Отклонение +,-</w:t>
            </w:r>
          </w:p>
        </w:tc>
      </w:tr>
      <w:tr w:rsidR="00F2740C" w:rsidRPr="00F2740C" w:rsidTr="00F2740C">
        <w:trPr>
          <w:trHeight w:val="33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Сено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+0,1</w:t>
            </w:r>
          </w:p>
        </w:tc>
      </w:tr>
      <w:tr w:rsidR="00F2740C" w:rsidRPr="00F2740C" w:rsidTr="00F2740C">
        <w:trPr>
          <w:trHeight w:val="26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Солома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6,9 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40C" w:rsidRPr="00F2740C" w:rsidTr="00F2740C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Силос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0,7   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</w:p>
        </w:tc>
      </w:tr>
      <w:tr w:rsidR="00F2740C" w:rsidRPr="00F2740C" w:rsidTr="00F2740C">
        <w:trPr>
          <w:trHeight w:val="28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Фураж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+2,8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>Укрепление кормовой базы и  расширение ассортимента кормовых культур</w:t>
      </w:r>
      <w:r w:rsidRPr="00F2740C">
        <w:rPr>
          <w:rFonts w:ascii="Times New Roman" w:hAnsi="Times New Roman" w:cs="Times New Roman"/>
          <w:sz w:val="28"/>
          <w:szCs w:val="28"/>
        </w:rPr>
        <w:t xml:space="preserve">.  Ведётся постоянный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соблюдением технологий заготовки кормов. Организуется централизованный отбор проб кормов для проведения анализа питательной ценности и качества в лаборатории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ветуправления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. Информация о наличии кормов в хозяйствах анализируется, данные сведения направляются в Министерство сельского хозяйства Оренбургской области.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агропромышленный комплекс района входят крупные предприятия  переработки ОАО «Спутник»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Заилечье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».  Кроме этого ОАО «Спутник» занимается производством комбикормов.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Животноводство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В животноводстве ведётся учёт поголовья всех видов скота. Ежемесячно  анализируются показатели отрасли животноводства в разрезе сельскохозяйственных организаций, а так же ежеквартально - наличия скота и производство продукции животноводства в ИП, КФХ и личных подсобных хозяйствах.</w:t>
      </w:r>
    </w:p>
    <w:tbl>
      <w:tblPr>
        <w:tblpPr w:leftFromText="180" w:rightFromText="180" w:vertAnchor="text" w:horzAnchor="margin" w:tblpY="144"/>
        <w:tblW w:w="9464" w:type="dxa"/>
        <w:tblLook w:val="00A0"/>
      </w:tblPr>
      <w:tblGrid>
        <w:gridCol w:w="540"/>
        <w:gridCol w:w="1713"/>
        <w:gridCol w:w="816"/>
        <w:gridCol w:w="876"/>
        <w:gridCol w:w="696"/>
        <w:gridCol w:w="816"/>
        <w:gridCol w:w="816"/>
        <w:gridCol w:w="696"/>
        <w:gridCol w:w="816"/>
        <w:gridCol w:w="816"/>
        <w:gridCol w:w="863"/>
      </w:tblGrid>
      <w:tr w:rsidR="00F2740C" w:rsidRPr="00F2740C" w:rsidTr="00F2740C">
        <w:trPr>
          <w:trHeight w:val="25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собственности</w:t>
            </w:r>
          </w:p>
        </w:tc>
        <w:tc>
          <w:tcPr>
            <w:tcW w:w="47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Крупный рогатый скот</w:t>
            </w:r>
          </w:p>
        </w:tc>
        <w:tc>
          <w:tcPr>
            <w:tcW w:w="24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Свиньи</w:t>
            </w:r>
          </w:p>
        </w:tc>
      </w:tr>
      <w:tr w:rsidR="00F2740C" w:rsidRPr="00F2740C" w:rsidTr="00F2740C">
        <w:trPr>
          <w:trHeight w:val="25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коров</w:t>
            </w:r>
          </w:p>
        </w:tc>
        <w:tc>
          <w:tcPr>
            <w:tcW w:w="24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740C" w:rsidRPr="00F2740C" w:rsidTr="00F2740C">
        <w:trPr>
          <w:trHeight w:val="25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740C" w:rsidRPr="00F2740C" w:rsidTr="00F2740C">
        <w:trPr>
          <w:trHeight w:val="25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+/-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+/-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740C" w:rsidRPr="00F2740C" w:rsidTr="00F2740C">
        <w:trPr>
          <w:trHeight w:val="25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</w:t>
            </w:r>
          </w:p>
        </w:tc>
      </w:tr>
      <w:tr w:rsidR="00F2740C" w:rsidRPr="00F2740C" w:rsidTr="00F2740C">
        <w:trPr>
          <w:trHeight w:val="25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</w:tr>
      <w:tr w:rsidR="00F2740C" w:rsidRPr="00F2740C" w:rsidTr="00F2740C">
        <w:trPr>
          <w:trHeight w:val="254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СХО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3262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1247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</w:t>
            </w:r>
          </w:p>
        </w:tc>
      </w:tr>
      <w:tr w:rsidR="00F2740C" w:rsidRPr="00F2740C" w:rsidTr="00F2740C">
        <w:trPr>
          <w:trHeight w:val="254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КФХ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-116</w:t>
            </w:r>
          </w:p>
        </w:tc>
      </w:tr>
      <w:tr w:rsidR="00F2740C" w:rsidRPr="00F2740C" w:rsidTr="00F2740C">
        <w:trPr>
          <w:trHeight w:val="254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ЛПХ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16529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16603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8231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8241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3955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</w:p>
        </w:tc>
      </w:tr>
      <w:tr w:rsidR="00F2740C" w:rsidRPr="00F2740C" w:rsidTr="00F2740C">
        <w:trPr>
          <w:trHeight w:val="254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району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25545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26865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-38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="-34" w:tblpY="178"/>
        <w:tblW w:w="9498" w:type="dxa"/>
        <w:tblLayout w:type="fixed"/>
        <w:tblLook w:val="00A0"/>
      </w:tblPr>
      <w:tblGrid>
        <w:gridCol w:w="493"/>
        <w:gridCol w:w="64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567"/>
      </w:tblGrid>
      <w:tr w:rsidR="00F2740C" w:rsidRPr="00F2740C" w:rsidTr="00F2740C">
        <w:trPr>
          <w:trHeight w:val="25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собственности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Овцы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Козы</w:t>
            </w:r>
          </w:p>
        </w:tc>
      </w:tr>
      <w:tr w:rsidR="00F2740C" w:rsidRPr="00F2740C" w:rsidTr="00F2740C">
        <w:trPr>
          <w:trHeight w:val="25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овцематки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козоматки</w:t>
            </w:r>
            <w:proofErr w:type="spellEnd"/>
          </w:p>
        </w:tc>
      </w:tr>
      <w:tr w:rsidR="00F2740C" w:rsidRPr="00F2740C" w:rsidTr="00F2740C">
        <w:trPr>
          <w:trHeight w:val="25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740C" w:rsidRPr="00F2740C" w:rsidTr="00F2740C">
        <w:trPr>
          <w:trHeight w:val="25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740C" w:rsidRPr="00F2740C" w:rsidTr="00F2740C">
        <w:trPr>
          <w:trHeight w:val="25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к.</w:t>
            </w:r>
          </w:p>
        </w:tc>
      </w:tr>
      <w:tr w:rsidR="00F2740C" w:rsidRPr="00F2740C" w:rsidTr="00F2740C">
        <w:trPr>
          <w:trHeight w:val="25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</w:tr>
      <w:tr w:rsidR="00F2740C" w:rsidRPr="00F2740C" w:rsidTr="00F2740C">
        <w:trPr>
          <w:trHeight w:val="2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СХО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2740C" w:rsidRPr="00F2740C" w:rsidTr="00F2740C">
        <w:trPr>
          <w:trHeight w:val="2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КФХ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545</w:t>
            </w:r>
          </w:p>
        </w:tc>
      </w:tr>
      <w:tr w:rsidR="00F2740C" w:rsidRPr="00F2740C" w:rsidTr="00F2740C">
        <w:trPr>
          <w:trHeight w:val="2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ЛПХ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F2740C" w:rsidRPr="00F2740C" w:rsidTr="00F2740C">
        <w:trPr>
          <w:trHeight w:val="2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Итого по </w:t>
            </w: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району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-1698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551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Продуктивные показатели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15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04"/>
        <w:gridCol w:w="3396"/>
        <w:gridCol w:w="698"/>
        <w:gridCol w:w="965"/>
        <w:gridCol w:w="952"/>
        <w:gridCol w:w="951"/>
        <w:gridCol w:w="1086"/>
        <w:gridCol w:w="944"/>
      </w:tblGrid>
      <w:tr w:rsidR="00F2740C" w:rsidRPr="00F2740C" w:rsidTr="00F2740C">
        <w:trPr>
          <w:cantSplit/>
          <w:trHeight w:val="535"/>
          <w:tblHeader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698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(факт)</w:t>
            </w:r>
          </w:p>
        </w:tc>
        <w:tc>
          <w:tcPr>
            <w:tcW w:w="952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95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(факт)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 xml:space="preserve">+/-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 xml:space="preserve">к 2019 году 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 xml:space="preserve">  Фа</w:t>
            </w:r>
            <w:proofErr w:type="gramStart"/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кт к пл</w:t>
            </w:r>
            <w:proofErr w:type="gramEnd"/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ану</w:t>
            </w:r>
          </w:p>
        </w:tc>
      </w:tr>
      <w:tr w:rsidR="00F2740C" w:rsidRPr="00F2740C" w:rsidTr="00F2740C">
        <w:trPr>
          <w:cantSplit/>
          <w:trHeight w:val="133"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97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698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7281,1</w:t>
            </w:r>
          </w:p>
        </w:tc>
        <w:tc>
          <w:tcPr>
            <w:tcW w:w="952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7613</w:t>
            </w:r>
          </w:p>
        </w:tc>
        <w:tc>
          <w:tcPr>
            <w:tcW w:w="951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1743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(без ЛПХ)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-5538,1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-5870,0</w:t>
            </w:r>
          </w:p>
        </w:tc>
      </w:tr>
      <w:tr w:rsidR="00F2740C" w:rsidRPr="00F2740C" w:rsidTr="00F2740C">
        <w:trPr>
          <w:cantSplit/>
          <w:trHeight w:val="133"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97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Производство молока в сельскохозяйственных организациях, КФХ, включая ИП</w:t>
            </w:r>
          </w:p>
        </w:tc>
        <w:tc>
          <w:tcPr>
            <w:tcW w:w="698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35465,2</w:t>
            </w:r>
          </w:p>
        </w:tc>
        <w:tc>
          <w:tcPr>
            <w:tcW w:w="952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36620,3</w:t>
            </w:r>
          </w:p>
        </w:tc>
        <w:tc>
          <w:tcPr>
            <w:tcW w:w="951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770,0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(без ЛПХ)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-34695,2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-35850,3</w:t>
            </w:r>
          </w:p>
        </w:tc>
      </w:tr>
      <w:tr w:rsidR="00F2740C" w:rsidRPr="00F2740C" w:rsidTr="00F2740C">
        <w:trPr>
          <w:cantSplit/>
          <w:trHeight w:val="133"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97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Численность товарного поголовья коров специализированных мясных пород в сельскохозяйственных организациях, КФХ, включая ИП</w:t>
            </w:r>
          </w:p>
        </w:tc>
        <w:tc>
          <w:tcPr>
            <w:tcW w:w="698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3430</w:t>
            </w:r>
          </w:p>
        </w:tc>
        <w:tc>
          <w:tcPr>
            <w:tcW w:w="952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7671</w:t>
            </w:r>
          </w:p>
        </w:tc>
        <w:tc>
          <w:tcPr>
            <w:tcW w:w="951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4786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+1356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-2885</w:t>
            </w:r>
          </w:p>
        </w:tc>
      </w:tr>
      <w:tr w:rsidR="00F2740C" w:rsidRPr="00F2740C" w:rsidTr="00F2740C">
        <w:trPr>
          <w:cantSplit/>
          <w:trHeight w:val="133"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97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Маточное поголовье овец и коз в сельскохозяйственных организациях, КФХ, включая ИП</w:t>
            </w:r>
          </w:p>
        </w:tc>
        <w:tc>
          <w:tcPr>
            <w:tcW w:w="698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6579</w:t>
            </w:r>
          </w:p>
        </w:tc>
        <w:tc>
          <w:tcPr>
            <w:tcW w:w="952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6640</w:t>
            </w:r>
          </w:p>
        </w:tc>
        <w:tc>
          <w:tcPr>
            <w:tcW w:w="951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5783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-796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-857</w:t>
            </w:r>
          </w:p>
        </w:tc>
      </w:tr>
      <w:tr w:rsidR="00F2740C" w:rsidRPr="00F2740C" w:rsidTr="00F2740C">
        <w:trPr>
          <w:cantSplit/>
          <w:trHeight w:val="133"/>
        </w:trPr>
        <w:tc>
          <w:tcPr>
            <w:tcW w:w="50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97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Поголовье свиней в сельскохозяйственных предприятиях и КФХ</w:t>
            </w:r>
          </w:p>
        </w:tc>
        <w:tc>
          <w:tcPr>
            <w:tcW w:w="698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965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2838</w:t>
            </w:r>
          </w:p>
        </w:tc>
        <w:tc>
          <w:tcPr>
            <w:tcW w:w="952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5392</w:t>
            </w:r>
          </w:p>
        </w:tc>
        <w:tc>
          <w:tcPr>
            <w:tcW w:w="951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2765</w:t>
            </w:r>
          </w:p>
        </w:tc>
        <w:tc>
          <w:tcPr>
            <w:tcW w:w="108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-73</w:t>
            </w:r>
          </w:p>
        </w:tc>
        <w:tc>
          <w:tcPr>
            <w:tcW w:w="94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740C">
              <w:rPr>
                <w:rFonts w:ascii="Times New Roman" w:hAnsi="Times New Roman" w:cs="Times New Roman"/>
                <w:sz w:val="18"/>
                <w:szCs w:val="18"/>
              </w:rPr>
              <w:t>-2627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Перевыполнение показателя </w:t>
      </w:r>
      <w:r w:rsidRPr="00F2740C">
        <w:rPr>
          <w:rFonts w:ascii="Times New Roman" w:hAnsi="Times New Roman" w:cs="Times New Roman"/>
          <w:sz w:val="28"/>
          <w:szCs w:val="28"/>
        </w:rPr>
        <w:t xml:space="preserve">производство скота и птицы на убой в хозяйствах всех категорий (в живом весе) обусловлено тем, что массовый забой скота был осуществлён за счёт выбраковки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низкопродуктивного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маточного стада коров.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Проводились совместные выезды со специалистами  управления ветеринарии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по вопросам отлова безнадзорных домашних животных  (всего отловлено 236 голов).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Механизация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по состоянию на 01 января 2020 года у сельскохозяйственных товаропроизводителей имеется: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397 тракторов;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85  зерноуборочных комбайнов;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4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кормоуборочных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комбайна;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474 сеялок;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235 культиваторов;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303 плуга.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Объёмы приобретения  новой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техники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сельскохозяйственными товаропроизводителями всех форм собственности (включая ЛПХ):</w:t>
      </w:r>
    </w:p>
    <w:tbl>
      <w:tblPr>
        <w:tblW w:w="494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355"/>
        <w:gridCol w:w="1803"/>
        <w:gridCol w:w="671"/>
        <w:gridCol w:w="560"/>
        <w:gridCol w:w="679"/>
        <w:gridCol w:w="679"/>
        <w:gridCol w:w="918"/>
        <w:gridCol w:w="710"/>
        <w:gridCol w:w="710"/>
        <w:gridCol w:w="849"/>
        <w:gridCol w:w="710"/>
        <w:gridCol w:w="710"/>
      </w:tblGrid>
      <w:tr w:rsidR="00F2740C" w:rsidRPr="00F2740C" w:rsidTr="00F2740C">
        <w:trPr>
          <w:cantSplit/>
          <w:trHeight w:val="562"/>
          <w:tblHeader/>
        </w:trPr>
        <w:tc>
          <w:tcPr>
            <w:tcW w:w="367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700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3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60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741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2018 год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888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41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2019 год </w:t>
            </w:r>
          </w:p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741" w:type="dxa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2020 год план</w:t>
            </w:r>
          </w:p>
        </w:tc>
      </w:tr>
      <w:tr w:rsidR="00F2740C" w:rsidRPr="00F2740C" w:rsidTr="00F2740C">
        <w:trPr>
          <w:cantSplit/>
          <w:trHeight w:val="137"/>
        </w:trPr>
        <w:tc>
          <w:tcPr>
            <w:tcW w:w="367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4" w:type="dxa"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Тракторы</w:t>
            </w:r>
          </w:p>
        </w:tc>
        <w:tc>
          <w:tcPr>
            <w:tcW w:w="700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83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0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88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2740C" w:rsidRPr="00F2740C" w:rsidTr="00F2740C">
        <w:trPr>
          <w:cantSplit/>
          <w:trHeight w:val="137"/>
        </w:trPr>
        <w:tc>
          <w:tcPr>
            <w:tcW w:w="367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4" w:type="dxa"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Зерноуборочные комбайны</w:t>
            </w:r>
          </w:p>
        </w:tc>
        <w:tc>
          <w:tcPr>
            <w:tcW w:w="700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83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0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88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740C" w:rsidRPr="00F2740C" w:rsidTr="00F2740C">
        <w:trPr>
          <w:cantSplit/>
          <w:trHeight w:val="137"/>
        </w:trPr>
        <w:tc>
          <w:tcPr>
            <w:tcW w:w="367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94" w:type="dxa"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Кормоуборочные комбайны</w:t>
            </w:r>
          </w:p>
        </w:tc>
        <w:tc>
          <w:tcPr>
            <w:tcW w:w="700" w:type="dxa"/>
            <w:noWrap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83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8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1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>Невыполнение показателей программы по приобретению зерноуборочных комбайнов обусловлено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высокими ценами на данный вид сельскохозяйственной техники.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Специалистами УСХ оказывалась организационно-методическая помощь сельхозпредприятиям городского округа по вопросам предупреждения производственного травматизма, улучшению условий и безопасности труда.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управлении сельского хозяйства, на совещаниях с руководителями хозяйств, озвучивались вопросы по охране труда и пожарной безопасности на объектах сельскохозяйственного производства.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2019 году, на объектах производства сельхозпредприятий пожаров не зарегистрировано, несчастных случаев со смертельным исходом не было.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УСХ обеспечивает  подготовку и повышение квалификации кадров, их переаттестацию. Организуется и проводится обучение руководителей и специалистов сельхозпредприятий по охране труда  и  пожарно-техническим условиям.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Администрация округа, управление сельского хозяйства, руководство сельхозпредприятий делают всё возможное для выполнения мероприятий повышения эффективности сельскохозяйственного производства.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Однако ситуация в сельском хозяйстве остается сложной. В первую очередь она обусловлена непростым финансовым положением, наличием огромной кредиторской задолженности сельхозпредприятий. Это не только кредиты и займы банков, но и долги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и внебюджетные фонды всех уровней, а также задолженность перед поставщиками за услуги и сырье.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Снижение уровня рентабельности в сельском хозяйстве обусловлено, в том числе, увеличением стоимости энергоносителей, в первую очередь дизельного топлива.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Здравоохранение</w:t>
      </w:r>
    </w:p>
    <w:p w:rsidR="00F2740C" w:rsidRPr="00F2740C" w:rsidRDefault="00F2740C" w:rsidP="00F2740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Медицинскую помощь населению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eastAsia="en-US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городского округа оказывает государственное бюджетное учреждение здравоохранения «Городская больница города Соль-Илецка».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>В её структуре стационар, взрослая поликлиника с дневным стационаром, детская поликлиника, стоматологическая поликлиника, одна участковая больница, 4 врачебных амбулатории, 31 фельдшерско-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акушерский пункт, 6 здравпунктов образовательных учреждений. Мощность амбулаторного звена составляет 910 посещений в смену.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</w:rPr>
        <w:t>Стационарная помощь оказывается хирургическим, реанимационным, детским отделением, терапевтическими отделениями №1, №2 и №3, гинекологическим, инфекционным отделением.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Скорая и неотложная помощь оказывается бригадами отделения скорой медицинской помощи, работают три подстанции – в сёлах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Буранное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Линёвка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       Численность прикрепленного к ГБУЗ «ГБ г. Соль-Илецка» населения составляет 46669 человек, из них детей –12059.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рамках программы «Устойчивое развитие сельских территорий» построены два фельдшерско-акушерских пункта – в сёлах Боевая Гора и Григорьевка. За последние годы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построены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современной модульной конструкции в сёлах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Кумакское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Ащебутак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снизился уровень заболеваемости туберкулёзом (на 100 тыс. населения) – 66.4, (в 2018 году -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79.8), но остаётся выше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среднеобластного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показателя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55.4. Заболеваемость хроническим алкоголизмом (на 10 тыс. населения) – 4.9, при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среднеобластном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17.7. Наркоманией (на 10 тыс. населения) - 0.7 и 0.82.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Заболеваемость злокачественными новообразованиями (на 100 тыс. населения) составляет 360.9 при областном показателе 479.9; ВИЧ-инфекцией (на 100 тыс. населения) –159.8 и 168.3.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>В ГБУЗ « ГБ » г. Соль-Илецка лечебно – профилактическую помощь населению оказывают 81 врач и 370 средних медицинских работников.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>Обеспеченность врачами составляет (на 10 тыс. населения)- 15.9.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>Обеспеченность средними медицинскими работниками - 74.9.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настоящее время по медицинским специальностям по целевому набору обучаются 50 человек.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В 2019 году в рамках реализации муниципальной программы «Закрепление медицинских кадров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и обеспечение их жильём» 2 врача получали компенсацию затрат по частичной оплате найма жилого помещения. 2 врачам-специалистам предоставлены по договору найма служебные жилые помещения.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О мероприятиях по вопросам ГО, ПБ  и ЧС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Администрацией муниципального образования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городской округ уделяется постоянное внимание развитию и повышению эффективности функционирования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городского звена Оренбургской территориальной подсистемы РСЧС, совершенствованию защиты населения и территорий городского округа от чрезвычайных ситуаций природного и техногенного характера.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2019 году работа была сосредоточена на решении задач по предупреждению чрезвычайных ситуаций и снижению ущерба при их возникновении, обеспечение пожарной безопасности и безопасности людей на водных объектах, реализации мер по всесторонней защите населения городского округа от потенциальных опасностей различного характера.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Выполнен комплекс организационных и инженерно-технических мероприятий, позволивших в основном решить поставленные задачи. Повысилась готовность и оперативность действий органов управления и аварийно-спасательных формирований по реагированию на чрезвычайные ситуации, пожары и иные происшествия.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округ, в организациях и на предприятиях созданы резервы финансовых и материальных ресурсов, в основном обеспечивающих выполнение мероприятий по ликвидации чрезвычайных ситуаций муниципального характера, первоочередному обеспечению жизнедеятельности населения.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Совершенствовались формы подготовки (учения, тренировки, занятия) органов управления и сил городского звена территориальной подсистемы РСЧС: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командно-штабные учения - 3;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комплексные учения - 1;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тактико-специальные учения - 2;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объектовые тренировки - 137.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План основных мероприятий муниципального образования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2019 год в основном выполнен. Организовано и проведено 74 мероприятия, принято 15 нормативно правовых актов, регламентирующих различные аспекты деятельности по вопросам предупреждения ЧС и обеспечения безопасности населения от различных потенциальных опасностей. Проведено 11 заседаний комиссии по ЧС и ПБ. Оказана практическая помощь предприятиям, организациям и учреждениям  по формированию нормативно-правовой базы и выполнению федерального и областного законодательства.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целях защиты населения и своевременного реагирования на возникновение ЧС постановлением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от 07.11.2019 года № 2310-п «Об утверждении муниципальной программы «Защита населения и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от чрезвычайных ситуаций, обеспечение пожарной безопасности и безопасности людей на водных объектах» утверждена муниципальная программа.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2019 году на территории округа зарегистрировано две чрезвычайные ситуации (04.03.2019 - комплекс неблагоприятных погодных явлений и  04.05.2019 - пожар на территории СНТ, лесной пожар). Также неоднократно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наблюдался комплекс неблагоприятных погодных явлений (штормовой ветер более 20 м/с, ливневые дожди, метели, снежные заносы), в результате которых на территории округа был введён режим повышенной готовности.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На водных объектах </w:t>
      </w:r>
      <w:r w:rsidRPr="00F2740C">
        <w:rPr>
          <w:rFonts w:ascii="Times New Roman" w:hAnsi="Times New Roman" w:cs="Times New Roman"/>
          <w:sz w:val="28"/>
          <w:szCs w:val="28"/>
        </w:rPr>
        <w:t>погибло 3 человека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>, в том числе 0 детей.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Для экстренного оповещения населения в случае возникновения чрезвычайных ситуаций, 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установлено 44 сирены оповещения. В 12 населённых пунктах имеется система оповещения «Сонар». Также разработаны планы оповещения в случае возникновения ЧС на каждый населённый пункт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 Все оконечные устройства оповещения находятся в исправном состоянии и готовы к использованию по назначению. В случае необходимости для оповещения населения будет использоваться 21 автомобиль, оборудованный громкоговорителями.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целях организации взаимодействия служб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звена и повседневного управления функционирует муниципальное казенное учреждение «Единая дежурно-диспетчерская служба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округа». В 2019 году организовано переобучение должностных лиц ЕДДС в ГАОУ УМЦ по ГО и ЧС Оренбургской области.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ЕДДС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оснащена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телефонной, факсимильной и сотовой связью. Разработаны инструкции и алгоритм действий оперативного дежурного ЕДДС в различных условиях развития обстановки. Сумма затрат на содержание МКУ «ЕДДС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округа» в 2019 году составила – </w:t>
      </w:r>
      <w:r w:rsidRPr="00F2740C">
        <w:rPr>
          <w:rFonts w:ascii="Times New Roman" w:hAnsi="Times New Roman" w:cs="Times New Roman"/>
          <w:sz w:val="28"/>
          <w:szCs w:val="28"/>
        </w:rPr>
        <w:t xml:space="preserve">2621,04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>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Обучение населения в области гражданской обороны и защиты от чрезвычайных ситуаций.</w:t>
      </w:r>
      <w:r w:rsidRPr="00F2740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целях совершенствования подготовки и обучения руководящего состава, населения и нештатных аварийно-спасательных формирований в области защиты от ЧС и ГО в муниципальном образовании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изданы основные организационные документы. В 2019 году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подготовлены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и обучены: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в учебно-методическом центре по ГО и ЧС - 11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в организациях и предприятиях – 4 человека;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в образовательных учреждениях по программе курса «ОБЖ» - 7800 человек. 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Создание резерва финансовых ресурсов.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бюджете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создан резервный фонд на проведение мероприятий по предупреждению и ликвидации ЧС в сумме </w:t>
      </w: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>500 тыс. рублей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F2740C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Обеспечение безопасности людей на водных объектах.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Проведена профилактическая работа среди населения по соблюдению правил безопасного поведения на воде. Установлен 51 запрещающий аншлаг «Купание запрещено». Проведено 186 рейдов в местах отдыха людей вблизи водоемов. </w:t>
      </w:r>
      <w:r w:rsidRPr="00F2740C">
        <w:rPr>
          <w:rFonts w:ascii="Times New Roman" w:hAnsi="Times New Roman" w:cs="Times New Roman"/>
          <w:sz w:val="28"/>
          <w:szCs w:val="28"/>
        </w:rPr>
        <w:t xml:space="preserve">В рамках областного месячника безопасности детей управлением образования, в общеобразовательных и дошкольных учреждениях проведены дополнительные занятия с детьми и родительские собрания по тематике: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«Осторожно, тонкий лёд!» с разъяснением правил поведения на водоёмах, опасности передвижения и нахождения на льду в осенний период, способам оказания первой помощи, терпящим бедствие на воде. Так же акцентировалось внимание родителей и педагогов на необходимость осуществления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поведением детей и подростков в свободное от занятий время, особенно в период каникул, и недопустимости оставления их без присмотра, в том числе вблизи водоёмов.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2740C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Обеспечение пожарной безопасности. </w:t>
      </w:r>
      <w:r w:rsidRPr="00F2740C">
        <w:rPr>
          <w:rFonts w:ascii="Times New Roman" w:hAnsi="Times New Roman" w:cs="Times New Roman"/>
          <w:sz w:val="28"/>
          <w:szCs w:val="28"/>
        </w:rPr>
        <w:t>За 2019 год на территории округа произошло 312 пожаров, на пожарах погибло 2 человек (АППГ - 6, снижение 100 %)  и 6 человек получил травмы различной степени тяжести (АППГ - 1, рост 100 %).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В соответствии с требованиями технического регламента для прикрытия подразделениями пожарной охраны всех населённых пунктов городского округа создана добровольная пожарная команда из 38 добровольных пожарных, имеющих на вооружении 17 единиц техники.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На содержание добровольной пожарной команды в 2019 году выделено средств из бюджета городского округа - 8 046,7941 тыс. рублей. На техническое оснащение добровольных пожарных, ГСМ, запасные части выделено 844 тыс. рублей. В каждом территориальном отделе городского округа разработаны расписания действий членов дружины и алгоритм взаимодействия с ПСЧ-6 9-го отряда ФПС.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Проведены организационные мероприятия, предусматривающие привлечение сил и средств, для тушения пожаров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городском округе с целью оптимизации прикрытия объектов социального назначения не попадающих в нормативную зону действий ПСЧ-6 9-го отряда ФПС. Заключены соглашения с организациями,  имеющими в своём штате объектовые пожарные дружины и отработан порядок их привлечения на пожаротушение (ФКУ ИК-6, в/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58661-11, ГУ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Соль-Илецкое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лесничество»).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В целях выполнения первичных мер пожарной безопасности проведён комплекс противопожарных мероприятий в населённых пунктах, в том числе: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по уборке и вывозу горючего мусора с территории населённых пунктов;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созданы минерализованные полосы вокруг всех населённых пунктов  округа и участков государственной границы с Республикой Казахстан общей протяженностью 273 км и шириной 4 м.;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- наземное патрулирование лесных массивов в летний период 2019 года.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i/>
          <w:sz w:val="28"/>
          <w:szCs w:val="28"/>
        </w:rPr>
        <w:t xml:space="preserve">О реализации и построении аппаратно-программного комплекса «Безопасный город». </w:t>
      </w:r>
      <w:r w:rsidRPr="00F2740C">
        <w:rPr>
          <w:rFonts w:ascii="Times New Roman" w:hAnsi="Times New Roman" w:cs="Times New Roman"/>
          <w:sz w:val="28"/>
          <w:szCs w:val="28"/>
        </w:rPr>
        <w:t xml:space="preserve">В рамках реализации Концепции по построению и развитию АПК «Безопасный город» на территории РФ в соответствии с Распоряжением Правительства РФ от 03.12.2014 года № 2446-р разработана муниципальная подпрограмма «Безопасный город Соль-Илецк».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в 2019 году проведена работа по созданию сегментов АПК «Безопасный город» - системы уличного видеонаблюдения и системы экстренного вызова 112. В настоящий момент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Соль-Илецке выполнены следующие мероприятия: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создана система централизованного уличного наблюдения на аварийно-опасных участках и в местах массового скопления людей, состоящая из 84 видеокамер;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совместно с ОМВД РФ по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городскому округу на въезде в г. Соль-Илецк установлена система распознавания государственных номеров автотранспортных средств;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на базе МКУ «ЕДДС» развернута система экстренного вызова 112. Полное внедрение данной системы планируется завершить до конца 2020 года. На реализацию муниципальной подпрограммы «Безопасный город Соль-Илецк» в 2019 году израсходовано 228,02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Сеть образовательных учреждений </w:t>
      </w:r>
      <w:proofErr w:type="spellStart"/>
      <w:r w:rsidRPr="00F2740C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городского округа.</w:t>
      </w:r>
      <w:r w:rsidRPr="00F274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В 2019 году муниципальная сеть образовательных учреждений представлена 32 общеобразовательными организациями, из них 31 организация, реализует среднее общее образование,   1 -  основное общее образование. Три сельские средние общеобразовательные школы имеют филиалы (МОБУ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Красномаякская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СОШ», МОБУ «Первомайская СОШ», МОБУ «Изобильная СОШ»).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Соль-Илецком округе функционирует 30 дошкольных образовательных организаций и 5 дошкольных групп при общеобразовательных учреждениях (МОБУ «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Казанская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ООШ»,  «Первомайская СОШ»,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Мещеряковская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СОШ»,  «Трудовая СОШ», 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Боевогорская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СОШ»).  Функционирует 9 групп кратковременного пребывания с численностью 167 человек, из них 5 ГКП - на базе общеобразовательных учреждений,  4 - на базе МБУДО «Центр  творческого развития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Pr="00F2740C">
        <w:rPr>
          <w:rFonts w:ascii="Times New Roman" w:hAnsi="Times New Roman" w:cs="Times New Roman"/>
          <w:b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Сеть учреждений дополнительного образования сохраняется на протяжении последних лет и состоит из 3 учреждений (МОБУ ДО «ДЮСШ», МОБУ ДО «ДЮСШ «Самбо-85», МОБУ ДО «ЦТР»).  Учреждения дополнительного образования имеют филиалы на базе 23 сельских школ. Всего воспитанников в организациях, осуществляющих дополнительное образование  – 5198 чел.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Количество малокомплектных школ в округе в 2019 году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также,  как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и в 2018 году  -  9 (2017г -11 ОО).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системе образования обучается и воспитывается 9796 человек (в 2018 году на 105 чел. меньше), в том числе: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- 2845  воспитанников дошкольных образовательных организаций и организаций, реализующих программу дошкольного образования;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- 6951 учащихся общеобразовательных школ.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Число детей с ограниченными возможностями здоровья и детей-инвалидов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округе, неуклонно растёт, их количество в 2019 году составило 406 человек:  83 обучается на дому (2018г.- 76 чел.), 323 - в обычных классах общеобразовательных организаций, классы коррекции на базе МОБУ «Григорьевская СОШ» посещают 19 человек (22). Дистанционное образование детей-инвалидов осуществляется с 2011 года, данной формой  обучение за 5 лет было охвачено 22 человека: количество детей в 2019 году- 4 человека.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Реализуется в школах округа интегрированное и инклюзивное обучение, когда дети  с ограниченными возможностями здоровья обучаются вместе с детьми, не имеющими отклонений.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настоящее время наполняемость основной школы составляет – 36 человек: от 13 (Троицкая СОШ) до 978 учащихся (СОШ № 4). В шести общеобразовательных учреждениях  обучение осуществляется в 2 смены (1223 чел.).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Основная задача управления образования, образовательных учреждений – сохранение и укрепление материально- технической базы образовательных учреждений округа, создание условий для безопасного пребывания участников образовательного процесса в зданиях и помещениях  ОУ.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Значительная работа проведена по формированию современной материально-технической базы образовательных учреждений, обновлению школьной инфраструктуры, созданию современных условий обучения.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Средства 2019 года, как и в предыдущие годы, в основном,  были направлены на приобретение различного вида оборудования, что позволило улучшить условия для обучения школьников и учителей. Так,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уровень оснащенности ОУ компьютерной техникой составляет 9,7 учеников на 1 компьютер;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обеспеченность книжным фондом школьных библиотек составляет 100%;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пищеблоки оснащены технологическим и холодильным оборудованием на 95,3%.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Продолжили свое участие в государственной программе "Создание условий для занятий физической культурой и спортом". За три года удалось капитально отремонтировать три спортивных зала.  В 2019 году участником данной программы было МОБУ «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СОШ».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выделено и освоено </w:t>
      </w:r>
      <w:r w:rsidRPr="00F2740C">
        <w:rPr>
          <w:rFonts w:ascii="Times New Roman" w:hAnsi="Times New Roman" w:cs="Times New Roman"/>
          <w:bCs/>
          <w:sz w:val="28"/>
          <w:szCs w:val="28"/>
        </w:rPr>
        <w:t>2669</w:t>
      </w:r>
      <w:r w:rsidRPr="00F2740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F2740C">
        <w:rPr>
          <w:rFonts w:ascii="Times New Roman" w:hAnsi="Times New Roman" w:cs="Times New Roman"/>
          <w:bCs/>
          <w:sz w:val="28"/>
          <w:szCs w:val="28"/>
        </w:rPr>
        <w:t>2 тысячи рубле</w:t>
      </w:r>
      <w:r w:rsidRPr="00F2740C">
        <w:rPr>
          <w:rFonts w:ascii="Times New Roman" w:hAnsi="Times New Roman" w:cs="Times New Roman"/>
          <w:sz w:val="28"/>
          <w:szCs w:val="28"/>
        </w:rPr>
        <w:t>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По программе «Содействие созданию новых мест с целью ликвидации второй  смены в общеобразовательных организациях Оренбургской области  в соответствии  с прогнозируемой потребностью и современными условиями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обучения на 2016-2020г.г.» посредством капитального  ремонта зданий муниципальных образований выделено и освоено  23644,33 тысячи  рублей,  </w:t>
      </w:r>
      <w:r w:rsidRPr="00F2740C">
        <w:rPr>
          <w:rFonts w:ascii="Times New Roman" w:hAnsi="Times New Roman" w:cs="Times New Roman"/>
          <w:bCs/>
          <w:sz w:val="28"/>
          <w:szCs w:val="28"/>
        </w:rPr>
        <w:lastRenderedPageBreak/>
        <w:t>выполнен  комплексный  капитальный ремонт здания МОБУ «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Изобильная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СОШ».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За счёт средств областного бюджета, выделенных на социально значимые мероприятия, выполнены работы по замене оконных блоков в зданиях образовательных учреждений  в объёме 3816,2 тыс. руб. (МОБУ «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Ащебутакская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СОШ», «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Кумакская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СОШ», «Саратовская СОШ», «Угольная СОШ»,  «Перовская СОШ», МОАУ «Григорьевская СОШ»,  МДОБУ «Детский сад» с. Буранное, «Детский сад» с. Изобильное.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В МОБУ «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Красномаякская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СОШ»  выполнен  капитальный ремонт полов в коридоре 3 этажа школы.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2019 году  выполнены работы по замене оконных блоков в здании МОБУ «Михайловская  СОШ»,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МДОБУ «Березка» п.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Маякское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bCs/>
          <w:sz w:val="28"/>
          <w:szCs w:val="28"/>
        </w:rPr>
        <w:t>и  капитальный ремонт МОБУ «Трудовая СОШ».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Выполнены работы по ремонту пищеблока в МОБУ «СОШ № 2» г. Соль-Илецка.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целях устранения нарушений пожарной безопасности в здании МДОБУ № 6 «Малышок» </w:t>
      </w:r>
      <w:proofErr w:type="gram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color w:val="000000"/>
          <w:sz w:val="28"/>
          <w:szCs w:val="28"/>
        </w:rPr>
        <w:t>. Соль-Илецка, проведены работы на  сумму 1098,2 тыс. руб.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рамках федерального  проекта «Содействие занятости женщин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оздание условий дошкольного образования для детей в возрасте до трех лет» национального проекта  «Демография» введён в эксплуатацию детский сад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на 90 мест.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         Кадровое обеспечение. </w:t>
      </w:r>
      <w:r w:rsidRPr="00F2740C">
        <w:rPr>
          <w:rFonts w:ascii="Times New Roman" w:hAnsi="Times New Roman" w:cs="Times New Roman"/>
          <w:sz w:val="28"/>
          <w:szCs w:val="28"/>
        </w:rPr>
        <w:t>В 2019 году в округе трудились 714 педагогов (на 25 человек меньше, чем в 2018-м), из них 85,5% имеют высшее образование,  квалификационные категории - 97%.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Проведена работа по подготовке, переподготовке, повышению квалификации педагогов  и руководителей, обучено  более 300 человек.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Продолжает расти доля работников пенсионного возраста (18,0% - это 129 человек, из них   управленцы -19 человек, педагогические работники и учителя-предметники – 110 человек). При этом число молодых специалистов мало (9,4%). Налицо дисбаланс: нехватка молодых педагогов и преобладающее количество педагогов старшего возраста, что характеризует коллективы как стареющие.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Численность учащихся в общеобразовательных организациях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в последние годы увеличивается и  в 2019-2020 учебном году достигла 6951 человек, а  кадровый состав школьных учителей по предметным специализациям уменьшился на 5,5%.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округе проводится целенаправленная поддержка лидеров – лучших учителей. Так, в 2019 году 20 учителей награждены областными и Всероссийскими наградами, 6 - отмечены Благодарностью главы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«За профессиональное мастерство», 2 – Грамотой Управления образования.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Продолжается работа по совершенствованию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системы оплаты труда работников образования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Среднемесячная начисленная заработанная плата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работников муниципальных дошкольных образовательных учреждений –17178 руб. (2018 г. - 15773,7 руб.), муниципальных общеобразовательных – 21134 руб. (2018 г. - 19989,8 руб.), педагогических работников  общеобразовательных учреждений – 28336 руб. (2018 г. - 26574,0 руб.), учреждений дополнительного образования – 22341 руб. (2018 г. - 20986,0 руб.)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Образовательными  учреждениями ведётся целенаправленная работа по сохранению образовательного пространства, повышению качества образовательных услуг.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Высокие баллы (90-100) набрали 45 выпускников (в 2018 г -19). Двое выпускников (СОШ № 4, лицей) набрали 100 баллов по русскому языку и литературе.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Даёт свои результаты и работа с одарёнными детьми. 278 человек приняли участие в муниципальном этапе Всероссийской олимпиады школьников, 12 из них - в региональном этапе по 9 предметам учебного плана.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Продолжена  деятельность  научного общества учащихся.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О качестве предоставляемых </w:t>
      </w:r>
      <w:r w:rsidRPr="00F2740C">
        <w:rPr>
          <w:rFonts w:ascii="Times New Roman" w:hAnsi="Times New Roman" w:cs="Times New Roman"/>
          <w:i/>
          <w:sz w:val="28"/>
          <w:szCs w:val="28"/>
        </w:rPr>
        <w:t xml:space="preserve">дополнительных образовательных </w:t>
      </w:r>
      <w:r w:rsidRPr="00F2740C">
        <w:rPr>
          <w:rFonts w:ascii="Times New Roman" w:hAnsi="Times New Roman" w:cs="Times New Roman"/>
          <w:sz w:val="28"/>
          <w:szCs w:val="28"/>
        </w:rPr>
        <w:t>услуг можно судить по достижениям воспитанников  на областном и Всероссийском уровнях.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В  2019 году  1578 воспитанников учреждений дополнительного образования приняли участие  в 123 мероприятиях различной направленности регионального, международного и всероссийского уровней, 262 из них стали призёрами и победителями. Поддержать потенциал одарённости воспитанников позволяет система организации и проведения окружных слётов, конкурсов, фестивалей.  В 2019 году было проведено более 250 массовых мероприятий, в том числе более 65 – спортивной направленности.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школах созданы условия для </w:t>
      </w:r>
      <w:r w:rsidRPr="00F2740C">
        <w:rPr>
          <w:rFonts w:ascii="Times New Roman" w:hAnsi="Times New Roman" w:cs="Times New Roman"/>
          <w:i/>
          <w:sz w:val="28"/>
          <w:szCs w:val="28"/>
        </w:rPr>
        <w:t xml:space="preserve">организации здорового питания учащихся. </w:t>
      </w:r>
      <w:r w:rsidRPr="00F2740C">
        <w:rPr>
          <w:rFonts w:ascii="Times New Roman" w:hAnsi="Times New Roman" w:cs="Times New Roman"/>
          <w:sz w:val="28"/>
          <w:szCs w:val="28"/>
        </w:rPr>
        <w:t xml:space="preserve">Продолжалась реализация мероприятий по развитию системы школьного питания в рамках муниципальной целевой подпрограммы «Совершенствование организации питания  школьников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округе». Финансирование осуществлялось в размере 13 рублей на ребёнка (8 рублей – из областного,  5 рублей – муниципального бюджета).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Проведена работа по организации оздоровительной кампании.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Основными формами отдыха и занятости детей и подростков были лагеря с дневным пребыванием, индивидуальное трудоустройство. Приоритеты в предоставлении услуг по отдыху и оздоровлению детского населения отдавались детям из малообеспеченных, неполных семей, семей социального риска. Особое внимание было обращено на подростков, стоящих на учёте в комиссии по делам несовершеннолетних.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было открыто  28  лагерей  дневного пребывания (1413 чел.), 6 лагерей труда и отдыха (264 чел.), 13 профильных лагерных смен (283 чел.), 1 лагерь  с круглосуточным пребыванием по типу загородного «Олимп» (80 чел.). Всего охват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организованным отдыхом и оздоровлением  составил 2040  обучающихся, из них  37 – детей-инвалидов,  79 – оставшихся без попечения родителей, 119 – дети неработающих родителей, 20 – состоящие на различных  учётах в КДН и т.д., 479 – из многодетных семей.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Социальная защита детей. </w:t>
      </w:r>
      <w:r w:rsidRPr="00F2740C">
        <w:rPr>
          <w:rFonts w:ascii="Times New Roman" w:hAnsi="Times New Roman" w:cs="Times New Roman"/>
          <w:sz w:val="28"/>
          <w:szCs w:val="28"/>
        </w:rPr>
        <w:t>Общая численность детей, оставшихся без попечения родителей, на 1 января 2020 года составила 212 чел. В 20 приёмных семьях воспитываются – 60 детей, приёмных родителей – 34, приёмных семей с единственным родителем – 6, в них  – 10 детей.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очереди на получение жилья состоят 227 детей-сирот и детей, оставшихся без попечения родителей.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Общественная приёмная Уполномоченного по правам ребёнка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основании распоряжения Уполномоченного по правам ребёнка в Оренбургской области № 13-р от 11.02.2015 г. со 2 марта 2015 года возобновила деятельность общественная приемная Уполномоченного по правам ребёнка в муниципальном образовании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 2019 год в адрес общественной приёмной поступило 69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 xml:space="preserve">обращений, что на 9,2% меньше, чем в 2018-м.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 вопросам  реализации прав ребенка в образовательной сфере, в частности, по получению дошкольного, общего и специального образования, разрешению конфликтных ситуаций в образовательной среде поступило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49 обращений (71%).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 вопросам взаимоотношений в семье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2740C">
        <w:rPr>
          <w:rFonts w:ascii="Times New Roman" w:hAnsi="Times New Roman" w:cs="Times New Roman"/>
          <w:sz w:val="28"/>
          <w:szCs w:val="28"/>
        </w:rPr>
        <w:t>10 (14,5%), из них: асоциальное поведение родителей и детей (7),  определение места жительства несовершеннолетнего после развода родителей (1), общение ребёнка с одним из родителей (1), лишение родительских прав (1).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По вопросам медицинского обслуживания, санаторного оздоровления – 4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(5,8%). По 5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 xml:space="preserve">обращениям (7,2%) рассмотрены вопросы опеки и попечительства. По вопросам социальной сферы, а именно оказания материальной помощи и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реализации материнского капитала </w:t>
      </w:r>
      <w:r w:rsidRPr="00F2740C">
        <w:rPr>
          <w:rFonts w:ascii="Times New Roman" w:hAnsi="Times New Roman" w:cs="Times New Roman"/>
          <w:sz w:val="28"/>
          <w:szCs w:val="28"/>
        </w:rPr>
        <w:t>обратился один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заявитель (1,5 %).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Из общего количества обращений 40 (57%) вопросов – частного характера,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27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(39%) обращений относятся к сфере деятельности органов местного самоуправления,  2 (2,8%) – касаются деятельности органов областного значения.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Основной причиной нарушения прав является правовая неосведомленность граждан – 60 (86%), в 7 (10%) случаях - неудовлетворительная работа должностного лица, по 2 (2,8%) обращениям причиной является недостаточное финансирование.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color w:val="C00000"/>
          <w:sz w:val="28"/>
          <w:szCs w:val="28"/>
        </w:rPr>
        <w:t xml:space="preserve">        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>По 34</w:t>
      </w:r>
      <w:r w:rsidRPr="00F2740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обращениям оказано содействие в решении вопросов образования, социальной сферы, получения  медицинской помощи, опеки и попечительства, психологической помощи, по 35 дана юридическая консультация.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color w:val="C00000"/>
          <w:sz w:val="28"/>
          <w:szCs w:val="28"/>
          <w:lang w:eastAsia="en-US"/>
        </w:rPr>
        <w:lastRenderedPageBreak/>
        <w:t xml:space="preserve">         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проведения Всероссийских единых дней оказания бесплатной юридической помощи населению на базе общественной приёмной были организованы Дни открытых дверей. 20.11.2019 г.  в рамках Всероссийской акции «День правовой помощи детям» были проведены выездные встречи с воспитанниками ГКОУ «Спецшкола для мальчиков открытого типа» и воспитанниками Детского дома. В январе 2019 года были организованы рейдовые выезды совместно с КДН и ЗП в семьи, состоящие на учёте (пос.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eastAsia="en-US"/>
        </w:rPr>
        <w:t>Чашкан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F2740C">
        <w:rPr>
          <w:rFonts w:ascii="Times New Roman" w:hAnsi="Times New Roman" w:cs="Times New Roman"/>
          <w:sz w:val="28"/>
          <w:szCs w:val="28"/>
          <w:lang w:eastAsia="en-US"/>
        </w:rPr>
        <w:t>с</w:t>
      </w:r>
      <w:proofErr w:type="gramEnd"/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. Григорьевка). Были проведены профилактические беседы, даны консультации.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eastAsia="en-US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Работа по делам несовершеннолетних и защите их прав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В 2019 году было проведено 33 заседания Комиссии по делам несовершеннолетних и защите их прав, из них расширенных – 3, тематических – 26.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В отношении несовершеннолетних  поступило в КДН и ЗП 128 (в 2018 году - 181)  материалов, информаций, из них 56 протоколов об административной ответственности.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По ст. 7.27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РФ (мелкое хищение) - 7, ст. 7.17. (уничтожение или повреждение чужого имущества) - 1, по административным правонарушениям в области дорожного движения (глава 12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РФ) - 23 (в 2018 году - 17), ст. 20.20 (потребление (распитие) алкогольной продукции в запрещённых местах либо потребление наркотических средств или психотропных веществ, в общественных местах) - 2 (в 2018 году –  6), ст. 20.21. (появление 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общественных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в состоянии опьянения) - 4, ст. 19.16.  (умышленное уничтожение либо утрата документа, удостоверяющего личность) - 1, ч.5. ст. 11.4. (переход ж/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путей в неустановленном месте) - 4, ст.17 ч.1 Закона Оренбургской области «Об административных правонарушениях» (торговля в неустановленном месте) – 2, ст. 5.12.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РФ (изготовление, распространение или размещение агитационных материалов с нарушением требований законодательства о выборах и референдумах) - 2 протокола. 2 материала прекращено по срокам давности. 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В отношении  законных представителей поступило 290  (в 2018 году - 363)  материалов, информаций, сообщений, протоколов;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протоколов об административном правонарушении - 269 , из них 237 – ч.1. ст. 5.35 (ненадлежащее исполнение обязанностей по содержанию и воспитанию несовершеннолетних детей, в том числе за нарушения  Закона Оренбургской области «О мерах по предупреждению причинения вреда физическому, психическому, духовному и нравственному развитию детей на территории Оренбургской области» - 18), по ст. 6.10 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РФ (вовлечение несовершеннолетних в употребление спиртных напитков) – 4, по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ст. 20.22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РФ (нахождение в состоянии опьянения несовершеннолетних в возрасте до шестнадцати лет) - 5,  по ст. 6.23. (вовлечение в употребление табака) – 1, прекращено – 21 административное производство  (отсутствие состава, в связи со сроком давности).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Проведено 230 межведомственных рейдов (выездов) с целью координации межведомственного взаимодействия по работе с семьями, находящимися в социально опасном положении, профилактики правонарушений, преступлений, повторной преступности среди несовершеннолетних, преступлений в отношении несовершеннолетних.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На учёте в органах и учреждениях системы профилактики состоит 99 семей, находящихся в социально опасном положении, в которых воспитывается  263 ребёнка. В соответствии с постановлениями КДН и ЗП за 12 месяцев 2019 года поставлено на профилактический контроль 11 семей (28 детей), снято 31 семья, из них в связи с исправлением – 26, с переездом - 4.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По состоянию на 1 декабря 2019 года  на контроле состояло 35 несовершеннолетних: 21 - учащиеся школ, 14 - техникумов, 2 - спецшколы, 2 - не учатся и не работают. В течение года поставлено на  профилактический учёт КДН и ЗП 29  несовершеннолетних, из них в связи с мелким хищением– 7, хулиганскими действиями – 3,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поведением - 8, самовольными уходами - 3, оскорблением - 1. Отказы в возбуждении уголовных дел  об административном производстве в связи с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возраста - 7. Снято с профилактического учёта  35 несовершеннолетних, из них в связи с исправлением – 27, переездом – 1, совершеннолетием – 7.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 2019 год на территории округа несовершеннолетними совершено суицидов - 0 (АППГ- 1), суицидальных попыток – 4 (АППГ - 3). С несовершеннолетними, совершившими суицидальную попытку, проводится индивидуальная профилактическая работа. Разработан алгоритм по профилактической работе с подростками, совершившими попытку суицида.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Несчастных случаев и происшествий с детьми за отчётный период  произошло – 122 (за 12 месяцев 2018 года - 63). Смертельных исходов нет. Проведена работа с родителями,  через СМИ, на родительских собраниях.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Преступность среди несовершеннолетних по состоянию на 30 декабря 2019 года – 2 (АППГ– 8).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несовершеннолетних выявлено преступлений – 3 (ст. 156 УК РФ - жестокое обращение с детьми), ст. 151 УК РФ - 1 (вовлечение в употребление спиртной продукции, реализация спиртного).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рамках областной межведомственной профилактической акции «Сохрани жизнь себе и своему ребёнку» (с начала акции) в домах, где проживают семьи с детьми (многодетные, СОП, малообеспеченные) установлено 115  дымовых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Жилищная политика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рамках подпрограммы «Обеспечение жильём молодых семей в Оренбургской области» государственной программы «Стимулирование развития жилищного строительства в Оренбургской области» социальная выплата на приобретение (строительство) жилья предоставлена 8 молодым семьям (3 – по федеральному списку, 5 – остронуждающиеся).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Общий размер предоставленных социальных выплат составил 7339,2 тыс. рублей, в том числе: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федеральный бюджет – 900,970  тыс. рублей;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областной бюджет – 4316,530 тыс. рублей;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местный бюджет –2121,7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Социальные выплаты при получении кредита на приобретение жилья и на погашение части стоимости жилья в случае рождения ребёнка за счёт областного бюджета получили 29 молодых семей.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2019 году улучшили свои жилищные условия 1 ветеран Великой Отечественной войны и 3 вдовы умерших (погибших) участников Великой Отечественной войны (получили социальные выплаты в размере по 1238760 рублей). 2 семьи вынужденных переселенцев получили свидетельства о предоставлении социальной выплаты за счёт средств федерального бюджета на общую сумму 5591772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рамках реализации ФЦП «Устойчивое развитие сельских территорий» улучшили свои жилищные условия 3 семьи, проживающие в сельской местности (предоставлены социальные выплаты на строительство жилья).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 счёт областного бюджета приобретены жилые помещения для последующего предоставления по договорам социального найма 11 семьям (инвалиды и семьи, имеющие детей-инвалидов) на общую сумму 14307700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Предоставлены жилые помещения 22 лицам из числа детей-сирот и детей, оставшихся без попечения родителей (субвенции областного и федерального бюджетов в размере 26117200 рублей).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24 многодетные семьи получили свидетельства о предоставлении социальной выплаты на приобретение жилья за счёт областного бюджета.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рамках реализации муниципальной программы «Закрепление медицинских кадров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и обеспечение их жильём» 2 врача получали компенсацию затрат по частичной оплате найма жилого помещения. 2 врачам-специалистам предоставлены по договору найма служебные жилые помещения.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в 2019 году улучшили свои жилищные условия </w:t>
      </w:r>
      <w:r w:rsidRPr="00F2740C">
        <w:rPr>
          <w:rFonts w:ascii="Times New Roman" w:hAnsi="Times New Roman" w:cs="Times New Roman"/>
          <w:sz w:val="28"/>
          <w:szCs w:val="28"/>
        </w:rPr>
        <w:t>103 семьи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>, проживающие на территории городского округа.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Культура </w:t>
      </w:r>
      <w:proofErr w:type="spellStart"/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округа представлена следующими учреждениями: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>1. Муниципальное бюджетное учреждение культуры «Клуб досуга и творчества»</w:t>
      </w: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4 учреждения культуры – клубы, находятся в оперативном управлении.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Муниципальное бюджетное учреждение культуры  </w:t>
      </w: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«Клуб народного творчества»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>сельские дома культуры – 21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-  сельские клубы - 12.</w:t>
      </w:r>
      <w:r w:rsidRPr="00F274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31 находятся в оперативном управлении; </w:t>
      </w:r>
      <w:r w:rsidRPr="00F2740C">
        <w:rPr>
          <w:rFonts w:ascii="Times New Roman" w:hAnsi="Times New Roman" w:cs="Times New Roman"/>
          <w:sz w:val="28"/>
          <w:szCs w:val="28"/>
        </w:rPr>
        <w:t>2 - в аренде.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3.</w:t>
      </w:r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Муниципальное бюджетное учреждение культуры «</w:t>
      </w: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 культуры»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 дом культуры находится в оперативном управлении.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4.</w:t>
      </w: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Муниципальное бюджетное учреждение культуры «</w:t>
      </w: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Центр культурного развития»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находится в оперативном управлении.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МБУК «КДТ» и МБУК «КНТ» возложена методическое обеспечение и координация деятельности городских клубов, СДК, СК, творческих коллективов округа.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Любительские объединения и  клубы по интересам, участие в </w:t>
      </w:r>
      <w:proofErr w:type="spellStart"/>
      <w:r w:rsidRPr="00F2740C">
        <w:rPr>
          <w:rFonts w:ascii="Times New Roman" w:hAnsi="Times New Roman" w:cs="Times New Roman"/>
          <w:i/>
          <w:sz w:val="28"/>
          <w:szCs w:val="28"/>
        </w:rPr>
        <w:t>культурно-досуговых</w:t>
      </w:r>
      <w:proofErr w:type="spellEnd"/>
      <w:r w:rsidRPr="00F2740C">
        <w:rPr>
          <w:rFonts w:ascii="Times New Roman" w:hAnsi="Times New Roman" w:cs="Times New Roman"/>
          <w:i/>
          <w:sz w:val="28"/>
          <w:szCs w:val="28"/>
        </w:rPr>
        <w:t xml:space="preserve"> мероприятиях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учреждениях функционировало 475 клубных формирований самодеятельного народного творчества, с количеством участников 5825 человек (по сравнению с 2018 годом увеличение клубных формирований на 11, увеличение количества участников на 54 человека). В том числе: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детских - 256, число участников 3234 человека (2018 г. - 234 и 2974 соответственно);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молодежных – 63, участников – 762 человека (2018 г. – 57 и 666 соответственно);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любительских объединений - 169 формирований, участников - 2550 человек (2018 г. -  167 и 2530 соответственно).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Формирований самодеятельного народного творчества - 306, в них участников 3275 человек (2018 г. – 297 и 3241). Из них для детей 178 формирований - 2197 участников (2018 г. – 165 и 2097).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Народных коллективов - 14: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оркестр русских народных инструментов;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вокально-инструментальный ансамбль «Родные напевы»;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театр моды «Жемчуг»;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ансамбль танца «Грация»;</w:t>
      </w:r>
      <w:r w:rsidRPr="00F2740C">
        <w:rPr>
          <w:rFonts w:ascii="Times New Roman" w:hAnsi="Times New Roman" w:cs="Times New Roman"/>
          <w:sz w:val="28"/>
          <w:szCs w:val="28"/>
        </w:rPr>
        <w:tab/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ансамбль танца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Каруселька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муниципальный вокальный ансамбль «Гармония»;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муниципальный театр «Русский дом»;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фото-клуб «Кристалл»;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хор ветеранов труда «Ромашковая Русь»;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самодеятельный танцевальный коллектив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Ностальжи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вокальный ансамбль «Сударушка»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Ветлянского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ансамбль казачьей песни «Истоки»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фольклорный ансамбль казачьей песни «Благодать»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татарский ансамбль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Линевского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Муниципальных коллективов - 2:</w:t>
      </w:r>
      <w:r w:rsidRPr="00F2740C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ab/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вокальный ансамбль «Классика»;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ансамбль народных инструментов «Перезвоны».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>Народное творчество:  концертная деятельность, участие в фестивалях всех уровней.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2019 года в учреждениях культуры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прошло 10522 культурно-массовых мероприятия, из них для детей - 5657, для молодежи - 2974.  Данные мероприятия посетили 499798 человек, в том числе мероприятия для детей - 205683,  для молодежи – 115123 человек.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Творческие коллективы городского округа принимали участие во всех мероприятиях, проходящих в учреждениях культуры и на территории округа. Среди них ставшие традиционными - фестиваль народного творчества «Добрые соседи, верные друзья», Межрегиональный фестиваль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арбуз», мероприятия в рамках проекта «Лето в парке» и другие.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августе Соль-Илецк отметил 265-летие города и День шахтера. </w:t>
      </w:r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 xml:space="preserve">Мероприятия начались с праздника для детей – с театрализованной программы «Маленькое путешествие в большом городе». </w:t>
      </w:r>
      <w:proofErr w:type="gramStart"/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 xml:space="preserve">Сотрудники библиотеки, краеведческого музея, клубов им. Маяковского и им. Ленина, театра «Русский дом» провели </w:t>
      </w:r>
      <w:proofErr w:type="spellStart"/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>квесты</w:t>
      </w:r>
      <w:proofErr w:type="spellEnd"/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 xml:space="preserve"> на семи площадках (станциях).</w:t>
      </w:r>
      <w:proofErr w:type="gramEnd"/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 xml:space="preserve"> Для юных зрителей был подготовлен концерт на стадионе «Юность».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pacing w:val="7"/>
          <w:sz w:val="28"/>
          <w:szCs w:val="28"/>
        </w:rPr>
      </w:pPr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>На городской площади выступили лучшие творческие коллективы округа, а также гости из столицы – Заслуженный артист России Сергей Беликов и солист группы «Маленький принц» Александр Хлопков.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pacing w:val="7"/>
          <w:sz w:val="28"/>
          <w:szCs w:val="28"/>
        </w:rPr>
      </w:pPr>
      <w:r w:rsidRPr="00F2740C">
        <w:rPr>
          <w:rFonts w:ascii="Times New Roman" w:hAnsi="Times New Roman" w:cs="Times New Roman"/>
          <w:color w:val="333333"/>
          <w:spacing w:val="7"/>
          <w:sz w:val="28"/>
          <w:szCs w:val="28"/>
        </w:rPr>
        <w:t xml:space="preserve"> Показательное выступление продемонстрировали военнослужащие 31 отдельной гвардейской десантно-штурмовой бригады (город Ульяновск).  Зрители увидели выступления разведывательного батальона, боевые возможности сапёра, выставку новейшей техники и вооружения.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2019 год Указом Президента Владимира Путина был объявлен Годом театра в России. Его основной задачей стала популяризация театрального искусства. В учреждениях культуры округа был проведён целый ряд мероприятий, приуроченных к Году театра.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Национальные праздники являются неотъемлемой частью культуры любого народа. На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Соль-Илецкой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земле по давно сложившейся традиции проводится один из самых массовых и любимых праздников –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Наурыз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>». Жители округа и приглашенные гости активно участвуют в соревнованиях, угощаются традиционными лакомствами.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июне 2019 года в Соль-Илецке состоялся традиционный областной праздник татарской культуры «Сабантуй». В программе – работа национальных подворий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городского округа, выступление творческих коллективов, народные спортивные состязания, национальная борьба «</w:t>
      </w:r>
      <w:proofErr w:type="spellStart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Кереш</w:t>
      </w:r>
      <w:proofErr w:type="spellEnd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», конные скачки, состязания по мини футболу, пляжному волейболу, гиревому спорту.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ab/>
        <w:t xml:space="preserve">Также традиционно на площадке у села </w:t>
      </w:r>
      <w:proofErr w:type="gramStart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Угольное</w:t>
      </w:r>
      <w:proofErr w:type="gramEnd"/>
      <w:r w:rsidRPr="00F274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 проведён праздник Троица. Состоялось чествование передовиков сельского хозяйства. Для участников мероприятия были предусмотрены испытанные временем и современные состязания в силе и ловкости, концерты лучших творческих коллективов, мотокросс, скачки.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bCs/>
          <w:color w:val="000000"/>
          <w:sz w:val="28"/>
          <w:szCs w:val="28"/>
        </w:rPr>
        <w:tab/>
        <w:t>На нашей территории все эти мероприятия не имеют национальных границ, они стали многочисленными и многонациональными праздниками. Своим гостеприимством азартом спортивных состязаний объединили людей всех возрастов, национальностей и вероисповеданий.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F2740C">
        <w:rPr>
          <w:rFonts w:ascii="Times New Roman" w:hAnsi="Times New Roman" w:cs="Times New Roman"/>
          <w:i/>
          <w:color w:val="000000"/>
          <w:sz w:val="28"/>
          <w:szCs w:val="28"/>
        </w:rPr>
        <w:t>Творческие коллективы стали победителями и призёрами: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Группа спортивного танца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Энви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команды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Даймонд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Миссфит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«Софит», «Ритм» - открытого Чемпионата и Первенства города по фитнес и спортивной аэробике, Чемпионата и Первенства ПФО, ЮФО и СКФО по фитнес аэробике в Самаре, Открытом Чемпионате и Первенстве Оренбургской области по фитнес и спортивной аэробике, фестиваля "Мир движений;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Этно-фольклорный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театр танца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Салтанат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>» - областного художественно-творческого конкурса казахской культуры 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Ак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Бота», </w:t>
      </w:r>
      <w:r w:rsidRPr="00F2740C">
        <w:rPr>
          <w:rFonts w:ascii="Times New Roman" w:hAnsi="Times New Roman" w:cs="Times New Roman"/>
          <w:sz w:val="28"/>
          <w:szCs w:val="28"/>
        </w:rPr>
        <w:t xml:space="preserve">Международного фестиваля «Под открытым небом!» в Казахстане, Областного конкурса «Многонациональное Оренбуржье»;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Виктория Быкова,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Ажмуратов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Мержан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литературный кружок «Лира» - конкурса творческих работ «Несу добро в ладошках»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Усть-Илимске;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Народный ансамбль танца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Ностальжи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-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F2740C">
        <w:rPr>
          <w:rFonts w:ascii="Times New Roman" w:hAnsi="Times New Roman" w:cs="Times New Roman"/>
          <w:sz w:val="28"/>
          <w:szCs w:val="28"/>
        </w:rPr>
        <w:t xml:space="preserve"> Международного фестиваля-конкурса «Звезды столицы» (г. Москва), Международного конкурса-фестиваля «Планета талантов» (г. Оренбург);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Народный фото-клуб «Кристалл»</w:t>
      </w:r>
      <w:r w:rsidRPr="00F274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тематических фотоконкурсов «Выдуманная история», «</w:t>
      </w:r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35AWARDS Репортаж из горячих точек» (фотограф Олег Грачёв TOP 8 лучших фотографий конкурса), «</w:t>
      </w:r>
      <w:r w:rsidRPr="00F2740C">
        <w:rPr>
          <w:rFonts w:ascii="Times New Roman" w:hAnsi="Times New Roman" w:cs="Times New Roman"/>
          <w:sz w:val="28"/>
          <w:szCs w:val="28"/>
        </w:rPr>
        <w:t xml:space="preserve">35AWARDS Красный цвет» (фотограф Олег Грачёв TOP 9 лучших авторов), </w:t>
      </w:r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Голубой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цвет» (TOP 100 лучших фотографий конкурса;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Народный театр моды «Жемчуг» - Всероссийского конкурса-фестиваля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Арт-Культ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 (г. Медногорск);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Народный ансамбль танца «Грация» -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2740C">
        <w:rPr>
          <w:rFonts w:ascii="Times New Roman" w:hAnsi="Times New Roman" w:cs="Times New Roman"/>
          <w:sz w:val="28"/>
          <w:szCs w:val="28"/>
        </w:rPr>
        <w:t xml:space="preserve"> Международного фестиваля - конкурса «Шёлковый путь» (г. Оренбург), Международного конкурса «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TEYIDANC</w:t>
      </w:r>
      <w:r w:rsidRPr="00F2740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sz w:val="28"/>
          <w:szCs w:val="28"/>
        </w:rPr>
        <w:t>Народный ансамбль танца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Каруселька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-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2740C">
        <w:rPr>
          <w:rFonts w:ascii="Times New Roman" w:hAnsi="Times New Roman" w:cs="Times New Roman"/>
          <w:sz w:val="28"/>
          <w:szCs w:val="28"/>
        </w:rPr>
        <w:t xml:space="preserve"> Международного фестиваля-конкурса «Планета талантов» (г. Оренбург), Международного конкурса «Адмиралтейская звезда» (г. Казань), Международного фестиваля-конкурса «Урал собирает друзей» (г. Оренбург), Международного фестиваля-конкурса «Адмиралтейская звезда» (г. Оренбург),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2740C">
        <w:rPr>
          <w:rFonts w:ascii="Times New Roman" w:hAnsi="Times New Roman" w:cs="Times New Roman"/>
          <w:sz w:val="28"/>
          <w:szCs w:val="28"/>
        </w:rPr>
        <w:t xml:space="preserve"> Межрегионального фестиваля казачьей культуры (г. Оренбург),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2740C">
        <w:rPr>
          <w:rFonts w:ascii="Times New Roman" w:hAnsi="Times New Roman" w:cs="Times New Roman"/>
          <w:sz w:val="28"/>
          <w:szCs w:val="28"/>
        </w:rPr>
        <w:t xml:space="preserve"> Международного фестиваля-конкурса  «Шёлковый путь»;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Вокальная группа «Добро» - Международного конкурса-фестиваля «Урал собирает друзей» (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Оренбург). </w:t>
      </w:r>
    </w:p>
    <w:p w:rsidR="00F2740C" w:rsidRPr="00F2740C" w:rsidRDefault="00F2740C" w:rsidP="00F2740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Информация о расходах по учреждению культуры в 2019 г.:</w:t>
      </w:r>
    </w:p>
    <w:p w:rsidR="00F2740C" w:rsidRPr="00F2740C" w:rsidRDefault="00F2740C" w:rsidP="00F2740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          МБУК «Клуб народного творчества»</w:t>
      </w:r>
      <w:r w:rsidRPr="00F2740C">
        <w:rPr>
          <w:rFonts w:ascii="Times New Roman" w:hAnsi="Times New Roman" w:cs="Times New Roman"/>
          <w:sz w:val="28"/>
          <w:szCs w:val="28"/>
        </w:rPr>
        <w:t xml:space="preserve"> (21 сельский дом культуры (СДК), 12 сельских клубов (СК)):</w:t>
      </w:r>
    </w:p>
    <w:p w:rsidR="00F2740C" w:rsidRPr="00F2740C" w:rsidRDefault="00F2740C" w:rsidP="00F2740C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Социально значимые мероприятия: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- Устройство пандуса в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Саратовском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– 295631,0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 - Капитальный ремонт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Новоилецкого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– (2018г. - 2918203,0 руб.)  в 2019 г. – 1370556,80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 - Капитальный ремонт кровли Михайловского СДК – 1176054,0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- Разработка проектно-сметной документации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Тамар-Уткульского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270684,0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- Строительный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ходом работ капитального ремонта здания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Новоилецкого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– 44271,30 руб.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Из средств местного бюджета выполнены работы по обследованию несущих конструкций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Тамар-Уткульского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 -  187167,0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 - Поставка и монтаж пластиковых окон в Трудовом СДК – 372000,0 руб., (300000,0 руб. – 2019 г., 72000,0 руб. – 2020 г.).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 Из средств местного бюджета выполнены  ремонтные работы на сумму 949551,04 руб.: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  Ремонт кровли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Угольного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СДК – 349192,0 руб.;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Ремонт потолка и устройство навесного потолка в Покровском СДК – 173527,0 руб.; </w:t>
      </w:r>
    </w:p>
    <w:p w:rsidR="00F2740C" w:rsidRPr="00F2740C" w:rsidRDefault="00F2740C" w:rsidP="00F2740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Ремонтные работы здания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Ленёвского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 – 145341,64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Электромонтажные работы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Новоилецком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 – 60000,0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Монтаж тепловентиляторов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Тамар-Уткульском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СДК – 62455,0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Ремонт козырька парадного входа здания Угольного СДК – 20699,0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Ремонт внутренней системы отопления Михайловского СДК – 68247,0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Внутренний ремонт  здания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Беляевского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СК – 50000,0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Ремонт памятников в сельских учреждениях культуры – 20089,40 руб.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Из средств местного бюджета были выполнены контрольно-измерительные работы  -  измерение сопротивления изоляции электропроводки – 160000,0 руб., организация мероприятия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арбуз 2019 г – 136275,0 руб., для проведения мероприятий  - фестиваль «Добрые соседи верные друзья», «Масленица», «Сабантуй», «Троица», Новый год, День Победы -  подарочные наборы, дипломы, костюмы – 380005,0 руб., проведена проверка сметной документации на соответствие сметным нормам Угольного СДК и разработаны сметы для Покровского и Угольного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СДК – 28184,34 руб.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 Из средств от приносящей доход деятельности грант в форме субсидий – музыкальные инструменты - 4065500,0 руб.: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  - </w:t>
      </w:r>
      <w:r w:rsidRPr="00F2740C">
        <w:rPr>
          <w:rFonts w:ascii="Times New Roman" w:hAnsi="Times New Roman" w:cs="Times New Roman"/>
          <w:sz w:val="28"/>
          <w:szCs w:val="28"/>
        </w:rPr>
        <w:t xml:space="preserve">Гитара 6-ти струнная (акустическая) Россия.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ML-F3-BK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val="en-US"/>
        </w:rPr>
        <w:t>MilenaMusic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– 40 </w:t>
      </w:r>
      <w:proofErr w:type="spellStart"/>
      <w:proofErr w:type="gramStart"/>
      <w:r w:rsidRPr="00F2740C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           - </w:t>
      </w:r>
      <w:r w:rsidRPr="00F2740C">
        <w:rPr>
          <w:rFonts w:ascii="Times New Roman" w:hAnsi="Times New Roman" w:cs="Times New Roman"/>
          <w:sz w:val="28"/>
          <w:szCs w:val="28"/>
        </w:rPr>
        <w:t>Баян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val="en-US"/>
        </w:rPr>
        <w:t>Weltmeister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Romance 703 III-96/70-RD, 5 – </w:t>
      </w:r>
      <w:r w:rsidRPr="00F2740C">
        <w:rPr>
          <w:rFonts w:ascii="Times New Roman" w:hAnsi="Times New Roman" w:cs="Times New Roman"/>
          <w:sz w:val="28"/>
          <w:szCs w:val="28"/>
        </w:rPr>
        <w:t>рядный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– 1 </w:t>
      </w:r>
      <w:proofErr w:type="spellStart"/>
      <w:proofErr w:type="gramStart"/>
      <w:r w:rsidRPr="00F2740C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F2740C">
        <w:rPr>
          <w:rFonts w:ascii="Times New Roman" w:hAnsi="Times New Roman" w:cs="Times New Roman"/>
          <w:sz w:val="28"/>
          <w:szCs w:val="28"/>
        </w:rPr>
        <w:t xml:space="preserve">- Баян Тула 210 3-х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рядные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(стандарт) – 7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            - Баян Тула 209 5-рядный – 1 шт.;</w:t>
      </w:r>
    </w:p>
    <w:p w:rsidR="00F2740C" w:rsidRPr="00F13BD9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>Баян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val="en-US"/>
        </w:rPr>
        <w:t>Weltmeister</w:t>
      </w:r>
      <w:proofErr w:type="spellEnd"/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Romance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874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>-120/87-</w:t>
      </w:r>
      <w:proofErr w:type="gramStart"/>
      <w:r w:rsidRPr="00F2740C">
        <w:rPr>
          <w:rFonts w:ascii="Times New Roman" w:hAnsi="Times New Roman" w:cs="Times New Roman"/>
          <w:sz w:val="28"/>
          <w:szCs w:val="28"/>
          <w:lang w:val="en-US"/>
        </w:rPr>
        <w:t>RD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 5</w:t>
      </w:r>
      <w:proofErr w:type="gramEnd"/>
      <w:r w:rsidRPr="00F13BD9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>рядные</w:t>
      </w: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– 2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F13BD9">
        <w:rPr>
          <w:rFonts w:ascii="Times New Roman" w:hAnsi="Times New Roman" w:cs="Times New Roman"/>
          <w:sz w:val="28"/>
          <w:szCs w:val="28"/>
          <w:lang w:val="en-US"/>
        </w:rPr>
        <w:t>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BD9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>Аккордеон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val="en-US"/>
        </w:rPr>
        <w:t>Weltmeister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val="en-US"/>
        </w:rPr>
        <w:t>Achat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III-80/34-</w:t>
      </w:r>
      <w:proofErr w:type="gramStart"/>
      <w:r w:rsidRPr="00F2740C">
        <w:rPr>
          <w:rFonts w:ascii="Times New Roman" w:hAnsi="Times New Roman" w:cs="Times New Roman"/>
          <w:sz w:val="28"/>
          <w:szCs w:val="28"/>
          <w:lang w:val="en-US"/>
        </w:rPr>
        <w:t>BK  -</w:t>
      </w:r>
      <w:proofErr w:type="gram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.;     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F2740C">
        <w:rPr>
          <w:rFonts w:ascii="Times New Roman" w:hAnsi="Times New Roman" w:cs="Times New Roman"/>
          <w:sz w:val="28"/>
          <w:szCs w:val="28"/>
        </w:rPr>
        <w:t>- Гармонь Тульская Мод. Г-21 – 9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Трещотка - вертушка деревянная с двумя язычками – 10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Тамбурин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Meinl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1 ряд бубенцов – 10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Ложки Мастеровые (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компл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.) – 20шт.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Тамбурин круглый 2 ряда бубенцов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деревянный – 10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Трещетка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пластинчатая Мастеровая – 10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 Балалайка – 5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Домра – 5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Домбра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Мандолина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Акустическая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бас-гитара – 2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Электрогитара – 3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Жалейка Мастеровая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Электрическое пианино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Блок-флейта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Yamaha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YRT-304BH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Барабанные палочки – 10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Акустическая ударная установка – 1 шт.;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Синтезатор KORG  KROSS2-61-M – 3 шт.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Из средств от приносящей доход деятельности: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Планы эвакуации для сельских учреждений культуры – 15000,0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Жесткие диски – 7740,0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Электрические тэны для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Беляевского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СК – 4990,0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Лампы светодиодные для сельских учреждений культуры – 12350,0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 - Канцелярские товары – 50467,61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Из средств от приносящей доход деятельности выполнены следующие работы на сумму 78713,93 руб.: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 - Ремонт подворий к Межрегиональному фестивалю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арбуз - 2019» - 17720,0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- </w:t>
      </w:r>
      <w:r w:rsidRPr="00F2740C">
        <w:rPr>
          <w:rFonts w:ascii="Times New Roman" w:hAnsi="Times New Roman" w:cs="Times New Roman"/>
          <w:sz w:val="28"/>
          <w:szCs w:val="28"/>
        </w:rPr>
        <w:t xml:space="preserve">Электромонтажные работы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Новоилецком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 – 46000,0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Выполнение работ по пересчету сметной документации – 3836,19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Выполнение работ по оценке недвижимого имущества Буранного СДК – 4200,0 руб.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Из средств от приносящей доход деятельности: 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F2740C">
        <w:rPr>
          <w:rFonts w:ascii="Times New Roman" w:hAnsi="Times New Roman" w:cs="Times New Roman"/>
          <w:b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Ремонт отопления Перовского СДК – 5724,50 руб.;</w:t>
      </w:r>
    </w:p>
    <w:p w:rsidR="00F2740C" w:rsidRPr="00F2740C" w:rsidRDefault="00F2740C" w:rsidP="00F2740C">
      <w:pPr>
        <w:spacing w:after="0" w:line="240" w:lineRule="atLeast"/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Ремонт отопления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Тамар-Уткульского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СДК – 1233,24 руб.;</w:t>
      </w:r>
    </w:p>
    <w:p w:rsidR="00F2740C" w:rsidRPr="00F2740C" w:rsidRDefault="00F2740C" w:rsidP="00F2740C">
      <w:pPr>
        <w:spacing w:after="0" w:line="240" w:lineRule="atLeast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F2740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>Строительный контроль Михайловского СДК – 24961,74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   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Строительный контроль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Угольного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 СДК – 8555,72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- Строительный контроль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Саратовского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 СДК – 6326,50 руб.;</w:t>
      </w:r>
    </w:p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- Государственная экспертиза Михайловского СДК – 12000,0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F2740C">
        <w:rPr>
          <w:rFonts w:ascii="Times New Roman" w:hAnsi="Times New Roman" w:cs="Times New Roman"/>
          <w:i/>
          <w:iCs/>
          <w:sz w:val="28"/>
          <w:szCs w:val="28"/>
        </w:rPr>
        <w:t xml:space="preserve">       МБУК «Клуб досуга и творчества» (4 </w:t>
      </w:r>
      <w:proofErr w:type="gramStart"/>
      <w:r w:rsidRPr="00F2740C">
        <w:rPr>
          <w:rFonts w:ascii="Times New Roman" w:hAnsi="Times New Roman" w:cs="Times New Roman"/>
          <w:i/>
          <w:iCs/>
          <w:sz w:val="28"/>
          <w:szCs w:val="28"/>
        </w:rPr>
        <w:t>городских</w:t>
      </w:r>
      <w:proofErr w:type="gramEnd"/>
      <w:r w:rsidRPr="00F2740C">
        <w:rPr>
          <w:rFonts w:ascii="Times New Roman" w:hAnsi="Times New Roman" w:cs="Times New Roman"/>
          <w:i/>
          <w:iCs/>
          <w:sz w:val="28"/>
          <w:szCs w:val="28"/>
        </w:rPr>
        <w:t xml:space="preserve"> клуба):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За счёт бюджетных средств выполнено и приобретено: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ремонт водопровода в клубе «Мирный» - 172 132, 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замена запорной арматуры системы отопления клуба «Горняк» - 34 199,00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обработка огнезащитным составом чердачного помещения и сценической коробки клуба им. Ленина - 80 000,00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поверка узлов учёта тепловой энергии в клубах «Горняк», им. Ленина - 80 960,00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цифровой микшер - 283 2000,00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подарочная продукция, костюмы, атрибуты для проведения Дня Победы,  юбилея города, новогодних мероприятий, фестиваля и других мероприятий проводимых на территории города.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За счёт средств от приносящей доход деятельности: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МУП «Архитектор» (составление смет: ремонт наружного водопровода клуба «Мирный», замена напольной плитки  клуб им Маяковского, ремонт кровли клуб «Горняк»  - 25 204,27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- частичная замена напольной плитки клуб им Маяковского - 8 009,00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установка пластикового окна клуб «Горняк» - 13 149,37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ремонт системы АПС - 13 691,00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дезинфекция и обработка территории для проведения мероприятий «Сабантуй», «Троица», «Барды» - 18 000,00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портативная система звукоусиления для муниципального вокального ансамбля «Гармония» - 15 990,0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костюмы для народного танцевального ансамбля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Ностальжи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  - 30 610,00 руб.;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- заправка картриджей, обслуживание системы видеонаблюдения, частичный ремонт отопления, участие в конкурсе, огнетушители, канцелярские товары, хозяйственные товары, цветы.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     За счёт сре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дств гр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>анта в форме субсидии на приобретение музыкальных инструментов в рамках реализации мероприятия «Обеспечение учреждений культуры музыкальными инструментами» регионального проекта «Культурная среда»  - 709 300 руб.: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баян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ROLAND</w:t>
      </w:r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FR</w:t>
      </w:r>
      <w:r w:rsidRPr="00F2740C">
        <w:rPr>
          <w:rFonts w:ascii="Times New Roman" w:hAnsi="Times New Roman" w:cs="Times New Roman"/>
          <w:sz w:val="28"/>
          <w:szCs w:val="28"/>
        </w:rPr>
        <w:t>-8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XB</w:t>
      </w:r>
      <w:r w:rsidRPr="00F2740C">
        <w:rPr>
          <w:rFonts w:ascii="Times New Roman" w:hAnsi="Times New Roman" w:cs="Times New Roman"/>
          <w:sz w:val="28"/>
          <w:szCs w:val="28"/>
        </w:rPr>
        <w:t xml:space="preserve"> цифровой (405 170,00 руб.)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- баян ЭТЮД-205М2 БН-40 зеленый (48 500,00руб)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- балалайка-контрабас с чехлом (153 830,00руб.)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домра Альт концертная (101 800,00руб.)</w:t>
      </w:r>
    </w:p>
    <w:p w:rsidR="00F2740C" w:rsidRPr="00F2740C" w:rsidRDefault="00F2740C" w:rsidP="00F2740C">
      <w:pPr>
        <w:tabs>
          <w:tab w:val="left" w:pos="370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За счёт сре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едоставленных в виде социально-значимых средств из областного бюджета. </w:t>
      </w:r>
    </w:p>
    <w:p w:rsidR="00F2740C" w:rsidRPr="00F2740C" w:rsidRDefault="00F2740C" w:rsidP="00F2740C">
      <w:pPr>
        <w:tabs>
          <w:tab w:val="left" w:pos="3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    - музыкального оборудования (2 101 500,00 руб.) </w:t>
      </w:r>
    </w:p>
    <w:p w:rsidR="00F2740C" w:rsidRPr="00F2740C" w:rsidRDefault="00F2740C" w:rsidP="00F2740C">
      <w:pPr>
        <w:tabs>
          <w:tab w:val="left" w:pos="3709"/>
        </w:tabs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740C">
        <w:rPr>
          <w:rFonts w:ascii="Times New Roman" w:hAnsi="Times New Roman" w:cs="Times New Roman"/>
          <w:bCs/>
          <w:i/>
          <w:iCs/>
          <w:sz w:val="28"/>
          <w:szCs w:val="28"/>
        </w:rPr>
        <w:t>МБУК «Дом культуры»:</w:t>
      </w:r>
    </w:p>
    <w:p w:rsidR="00F2740C" w:rsidRPr="00F2740C" w:rsidRDefault="00F2740C" w:rsidP="00F274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- Ремонт капитального зала МБУК «ДК» - 1 128 900,00.</w:t>
      </w:r>
    </w:p>
    <w:p w:rsidR="00F2740C" w:rsidRPr="00F2740C" w:rsidRDefault="00F2740C" w:rsidP="00F274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- Капитальный ремонт отопления -558 526,00.</w:t>
      </w:r>
    </w:p>
    <w:p w:rsidR="00F2740C" w:rsidRPr="00F2740C" w:rsidRDefault="00F2740C" w:rsidP="00F274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Приобретение музыкальных инструментов (грант Министерства культуры и общественных связей Оренбургской области) - 242 200,00.</w:t>
      </w:r>
    </w:p>
    <w:p w:rsidR="00F2740C" w:rsidRPr="00F2740C" w:rsidRDefault="00F2740C" w:rsidP="00F274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Приобретение ткани (габардин) – 16 207,61.</w:t>
      </w:r>
    </w:p>
    <w:p w:rsidR="00F2740C" w:rsidRPr="00F2740C" w:rsidRDefault="00F2740C" w:rsidP="00F274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- 20 100,00:</w:t>
      </w:r>
    </w:p>
    <w:p w:rsidR="00F2740C" w:rsidRPr="00F2740C" w:rsidRDefault="00F2740C" w:rsidP="00F274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1. 3000,00- обучение по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теплохозяйству</w:t>
      </w:r>
      <w:proofErr w:type="spellEnd"/>
    </w:p>
    <w:p w:rsidR="00F2740C" w:rsidRPr="00F2740C" w:rsidRDefault="00F2740C" w:rsidP="00F274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2. 5000,00- текущий ремонт отопления</w:t>
      </w:r>
    </w:p>
    <w:p w:rsidR="00F2740C" w:rsidRPr="00F2740C" w:rsidRDefault="00F2740C" w:rsidP="00F274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3. 1500,00- приобретение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хозтоваров</w:t>
      </w:r>
      <w:proofErr w:type="spellEnd"/>
    </w:p>
    <w:p w:rsidR="00F2740C" w:rsidRPr="00F2740C" w:rsidRDefault="00F2740C" w:rsidP="00F274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4. 1200,00- приобретение канцтоваров</w:t>
      </w:r>
    </w:p>
    <w:p w:rsidR="00F2740C" w:rsidRPr="00F2740C" w:rsidRDefault="00F2740C" w:rsidP="00F274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5. 9400,00 – строительные материалы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740C">
        <w:rPr>
          <w:rFonts w:ascii="Times New Roman" w:hAnsi="Times New Roman" w:cs="Times New Roman"/>
          <w:bCs/>
          <w:i/>
          <w:iCs/>
          <w:sz w:val="28"/>
          <w:szCs w:val="28"/>
        </w:rPr>
        <w:t>МБУК «ЦКР»:</w:t>
      </w:r>
    </w:p>
    <w:tbl>
      <w:tblPr>
        <w:tblW w:w="8740" w:type="dxa"/>
        <w:tblLook w:val="00A0"/>
      </w:tblPr>
      <w:tblGrid>
        <w:gridCol w:w="6875"/>
        <w:gridCol w:w="1829"/>
        <w:gridCol w:w="222"/>
      </w:tblGrid>
      <w:tr w:rsidR="00F2740C" w:rsidRPr="00F2740C" w:rsidTr="00F2740C">
        <w:trPr>
          <w:gridAfter w:val="1"/>
          <w:wAfter w:w="36" w:type="dxa"/>
          <w:trHeight w:val="45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Замена запасный частей на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калонку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звука в кинозал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3300,00</w:t>
            </w:r>
          </w:p>
        </w:tc>
      </w:tr>
      <w:tr w:rsidR="00F2740C" w:rsidRPr="00F2740C" w:rsidTr="00F2740C">
        <w:trPr>
          <w:gridAfter w:val="1"/>
          <w:wAfter w:w="36" w:type="dxa"/>
          <w:trHeight w:val="37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Диафрагма для колонок звука по кино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8800,00</w:t>
            </w:r>
          </w:p>
        </w:tc>
      </w:tr>
      <w:tr w:rsidR="00F2740C" w:rsidRPr="00F2740C" w:rsidTr="00F2740C">
        <w:trPr>
          <w:gridAfter w:val="1"/>
          <w:wAfter w:w="36" w:type="dxa"/>
          <w:trHeight w:val="43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Замена </w:t>
            </w: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запасный</w:t>
            </w:r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частей на музыкальные колонки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35220,00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Куллер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усилителей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4562,52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Диафрагма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Цветной картон, батарейки, клей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2456,00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Хозяйственные и канцелярские товары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70746,63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мероприятия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Оренбургский хор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Артисты на День города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193,60</w:t>
            </w:r>
          </w:p>
        </w:tc>
      </w:tr>
      <w:tr w:rsidR="00F2740C" w:rsidRPr="00F2740C" w:rsidTr="00F2740C">
        <w:trPr>
          <w:gridAfter w:val="1"/>
          <w:wAfter w:w="36" w:type="dxa"/>
          <w:trHeight w:val="39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Услуги автогидроподъемника для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очиски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кровли от снега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10009,47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по оказанию</w:t>
            </w:r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первой медицинской помощи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4200,00</w:t>
            </w:r>
          </w:p>
        </w:tc>
      </w:tr>
      <w:tr w:rsidR="00F2740C" w:rsidRPr="00F2740C" w:rsidTr="00F2740C">
        <w:trPr>
          <w:gridAfter w:val="1"/>
          <w:wAfter w:w="36" w:type="dxa"/>
          <w:trHeight w:val="45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Обучение по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теплохозяйству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3000,00</w:t>
            </w:r>
          </w:p>
        </w:tc>
      </w:tr>
      <w:tr w:rsidR="00F2740C" w:rsidRPr="00F2740C" w:rsidTr="00F2740C">
        <w:trPr>
          <w:gridAfter w:val="1"/>
          <w:wAfter w:w="36" w:type="dxa"/>
          <w:trHeight w:val="45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Обучение </w:t>
            </w: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ответственных</w:t>
            </w:r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эксплуатации лифта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Цветы на проведение мероприятий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Ксеноновые лампы для кинопроектора, фильтра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244130,40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Баннеры к Фестивалю арбуза, Дню города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Радиовещание к фестивалю арбуза, Дню города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Полиграфическая продукция с символикой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52066,00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Разносы к фестивалю арбуза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</w:t>
            </w: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gram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слуги на День города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15489,50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Электрический кабель на День города 100 м.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Поручни в санузел для инвалидов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Трубка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аудиодомофона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обратной связи с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лифто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Таблички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Браэля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малозрячих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кнопка вызова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5600,00</w:t>
            </w:r>
          </w:p>
        </w:tc>
      </w:tr>
      <w:tr w:rsidR="00F2740C" w:rsidRPr="00F2740C" w:rsidTr="00F2740C">
        <w:trPr>
          <w:gridAfter w:val="1"/>
          <w:wAfter w:w="36" w:type="dxa"/>
          <w:trHeight w:val="64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Столы для совещания в рамках освещения вопросов по доступной среде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ко Дню работников культуры города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4000,00</w:t>
            </w:r>
          </w:p>
        </w:tc>
      </w:tr>
      <w:tr w:rsidR="00F2740C" w:rsidRPr="00F2740C" w:rsidTr="00F2740C">
        <w:trPr>
          <w:gridAfter w:val="1"/>
          <w:wAfter w:w="36" w:type="dxa"/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Фотоаппарат для фиксации мероприятий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22538,00</w:t>
            </w:r>
          </w:p>
        </w:tc>
      </w:tr>
      <w:tr w:rsidR="00F2740C" w:rsidRPr="00F2740C" w:rsidTr="00F2740C">
        <w:trPr>
          <w:gridAfter w:val="1"/>
          <w:wAfter w:w="36" w:type="dxa"/>
          <w:trHeight w:val="73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Монитор в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кинопроекторную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маршрутизатор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светильники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25289,00</w:t>
            </w:r>
          </w:p>
        </w:tc>
      </w:tr>
      <w:tr w:rsidR="00F2740C" w:rsidRPr="00F2740C" w:rsidTr="00F2740C">
        <w:trPr>
          <w:gridAfter w:val="1"/>
          <w:wAfter w:w="36" w:type="dxa"/>
          <w:trHeight w:val="780"/>
        </w:trPr>
        <w:tc>
          <w:tcPr>
            <w:tcW w:w="6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Испытание внутренних и наружных водонапорных сетей, в целях соблюдения пожарной безопасности, 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36400,00</w:t>
            </w:r>
          </w:p>
        </w:tc>
      </w:tr>
      <w:tr w:rsidR="00F2740C" w:rsidRPr="00F2740C" w:rsidTr="00F2740C">
        <w:trPr>
          <w:trHeight w:val="70"/>
        </w:trPr>
        <w:tc>
          <w:tcPr>
            <w:tcW w:w="68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740C" w:rsidRPr="00F2740C" w:rsidTr="00F2740C">
        <w:trPr>
          <w:trHeight w:val="78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Экспертиза огнезащитной обработки деревянных, тканевых покрытий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38860,00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2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Огнезащитная обработка тканей зрительного зала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106329,00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Ветрозащита для микрофонов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360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Пылесос для очистки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ковролина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зрительном зале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50990,00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577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Аудиосистема  в хореографический зал, аккумуляторы, жесткий диск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24177,00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 общепита при проведении мероприятий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18964,00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Ежегодное ТО кинопроектора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43500,00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6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Видеорегистратор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системы видеонаблюдения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 софита световой головы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11711,82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микшерного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пульта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9619,70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 диванов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29250,00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 счетчика газа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27139,26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Подарочные наборы для ветеранов ВОВ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Установка кассы 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Ежегодное обслуживание кинокассы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Интеграция ККТ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Кассовая лента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Бесперебойник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кассы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3699,00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Заправка картриджей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Пиобретени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России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Продление домена сайта ЦКР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Медицинская комиссия работников ЦКР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27655,00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офисных тумбочек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Страхование лифта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Отчисления в Российское авторское общество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239920,70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Реклама на ТВ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ГСМ (газонокосилка, снегоуборщик)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2785,50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Отправка дисков по кино транспортной компанией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22551,90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 Почты России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Подписка газеты "</w:t>
            </w:r>
            <w:proofErr w:type="spellStart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Илецкая</w:t>
            </w:r>
            <w:proofErr w:type="spellEnd"/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защита"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1668,00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рекламы по афише в газете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19200,00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Отчисления по кинофильмам, согласно договорам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2 147 680,00</w:t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40C" w:rsidRPr="00F2740C" w:rsidTr="00F2740C">
        <w:trPr>
          <w:trHeight w:val="405"/>
        </w:trPr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40C" w:rsidRPr="00F2740C" w:rsidRDefault="00F2740C" w:rsidP="00F27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3715377,00</w:t>
            </w:r>
            <w:r w:rsidRPr="00F274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6" w:type="dxa"/>
            <w:vAlign w:val="center"/>
          </w:tcPr>
          <w:p w:rsidR="00F2740C" w:rsidRPr="00F2740C" w:rsidRDefault="00F2740C" w:rsidP="00F274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740C" w:rsidRPr="00F2740C" w:rsidRDefault="00F2740C" w:rsidP="00F2740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740C">
        <w:rPr>
          <w:rFonts w:ascii="Times New Roman" w:hAnsi="Times New Roman" w:cs="Times New Roman"/>
          <w:bCs/>
          <w:i/>
          <w:iCs/>
          <w:sz w:val="28"/>
          <w:szCs w:val="28"/>
        </w:rPr>
        <w:t>МБУК «Центральная библиотека» (35 библиотек):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1. На областные средства по федеральной программе: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приобретены книги на сумму 81300,00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сканер А3 бесконтактный книжный – 56085,00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Компьютер – 24939,0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монитор – 5745,00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ноутбук (2 шт. по 19900,0) – 39800,0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Принтер цветной А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– 7500,0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МФУ лазерный (2 шт. по 13615,50) – 27231,0 руб.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Всего по областным средствам 242600,0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2. На средства местного бюджета: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 Ремонт распределительной гребенки системы отопления в здании ЦБ – 53724,00 руб. 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 Ремонт ввода системы теплоснабжения и водоснабжения в здании ЦБ -261790,00 руб. </w:t>
      </w:r>
    </w:p>
    <w:p w:rsidR="00F2740C" w:rsidRPr="00F2740C" w:rsidRDefault="00F2740C" w:rsidP="00F274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 Поверка теплового счетчика в ЦБ – 40480,00 руб.</w:t>
      </w:r>
    </w:p>
    <w:p w:rsidR="00F2740C" w:rsidRPr="00F2740C" w:rsidRDefault="00F2740C" w:rsidP="00F2740C">
      <w:pPr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оргтехника, газовый котел, светильники – на сумму 233300,0 руб. (104487,9 руб. - за счет средств от приносящей доход деятельности)</w:t>
      </w:r>
    </w:p>
    <w:p w:rsidR="00F2740C" w:rsidRPr="00F2740C" w:rsidRDefault="00F2740C" w:rsidP="00F2740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F2740C" w:rsidRPr="00F2740C" w:rsidRDefault="00F2740C" w:rsidP="00F274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bCs/>
          <w:i/>
          <w:iCs/>
          <w:sz w:val="28"/>
          <w:szCs w:val="28"/>
        </w:rPr>
        <w:t>МБУК «Краеведческий музей»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за счёт средств от приносящей доход деятельности:</w:t>
      </w:r>
    </w:p>
    <w:p w:rsidR="00F2740C" w:rsidRPr="00F2740C" w:rsidRDefault="00F2740C" w:rsidP="00F274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- з</w:t>
      </w: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акуплено оборудование со встроенным уникальным программным обеспечением; оборудование </w:t>
      </w:r>
      <w:proofErr w:type="spellStart"/>
      <w:r w:rsidRPr="00F2740C">
        <w:rPr>
          <w:rFonts w:ascii="Times New Roman" w:hAnsi="Times New Roman" w:cs="Times New Roman"/>
          <w:sz w:val="28"/>
          <w:szCs w:val="28"/>
          <w:lang w:eastAsia="en-US"/>
        </w:rPr>
        <w:t>он-лайн</w:t>
      </w:r>
      <w:proofErr w:type="spellEnd"/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 кассы;</w:t>
      </w:r>
    </w:p>
    <w:p w:rsidR="00F2740C" w:rsidRPr="00F2740C" w:rsidRDefault="00F2740C" w:rsidP="00F274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  <w:lang w:eastAsia="en-US"/>
        </w:rPr>
        <w:t xml:space="preserve">- проведен ремонт системы отопления (замена задвижек); </w:t>
      </w:r>
      <w:r w:rsidRPr="00F2740C">
        <w:rPr>
          <w:rFonts w:ascii="Times New Roman" w:hAnsi="Times New Roman" w:cs="Times New Roman"/>
          <w:sz w:val="28"/>
          <w:szCs w:val="28"/>
        </w:rPr>
        <w:t>поверка узла учета тепловой энергии;</w:t>
      </w:r>
    </w:p>
    <w:p w:rsidR="00F2740C" w:rsidRPr="00F2740C" w:rsidRDefault="00F2740C" w:rsidP="00F2740C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услуги сопровождения комплексной автоматизированной музейной информационной системы «КАМИС 5».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Физическая культура, спорт, молодёжная политика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Комитет по физической культуре, спорту, туризму, делам молодёжи и работе с общественными организациями обеспечивает проведение единой государственной политики по развитию физической культуры, спорта и туризма на территории городского округа.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настоящее время в округе работают 87 штатных специалистов физической культуры и спорта, из них 56  имеют высшее образование. Вопросами подготовки молодых преподавателей, повышением квалификации занимается управление образования. КФСДМ проводит семинары по видам спорта, занимается организационными проблемами физической культуры, привлекает к обслуживанию окружных соревнований по видам спорта ветеранов. Регулярно повышают свой уровень судьи по туризму, по борьбе самбо, футболу, хоккею и волейболу на областных семинарах, совещаниях  и судейских семинарах. В округе предусмотрена система поощрения за результаты работы.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При общеобразовательных школах работает 30 спортивных залов, оборудованных спортивным оборудованием и спортивным инвентарём, 47 учителей физкультуры.    Значительная часть спортивных сооружений и площадок находится на балансе общеобразовательных учреждений, поэтому в сельских поселениях школы являются центрами всей спортивно-массовой и физкультурно-оздоровительной работы на селе.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    Работа со студенческой молодёжью. </w:t>
      </w:r>
      <w:r w:rsidRPr="00F2740C">
        <w:rPr>
          <w:rFonts w:ascii="Times New Roman" w:hAnsi="Times New Roman" w:cs="Times New Roman"/>
          <w:sz w:val="28"/>
          <w:szCs w:val="28"/>
        </w:rPr>
        <w:t>В ГАПОУ 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индустриально-технологический техникум» реализуется программа физического развития и укрепления здоровья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.  Для реализации данной программы техникум располагает необходимыми ресурсами: 2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спортивных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зала, 2 стадиона, тир, имеется оборудование и инвентарь. Оборудование и инвентарь содержатся в удовлетворительном состоянии. Имеется необходимость в приобретении гимнастических снарядов.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базе ГАПОУ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индустриально-технологический техникум»  действуют объединения дополнительного образования спортивной направленности, спортивные секции за счет внебюджетных средств техникума.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      Организация работы с молодёжью призывного и допризывного возраста</w:t>
      </w:r>
      <w:r w:rsidRPr="00F2740C">
        <w:rPr>
          <w:rFonts w:ascii="Times New Roman" w:hAnsi="Times New Roman" w:cs="Times New Roman"/>
          <w:sz w:val="28"/>
          <w:szCs w:val="28"/>
        </w:rPr>
        <w:t xml:space="preserve">. Ежегодно совместно с управлением образования, главным специалистом по делам молодежи и отделом военного комиссариата проводятся военно-спортивные соревнования «Зарница», мероприятия в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рамках социально-патриотической акции «День призывника» (спортивные соревнования), военно-полевые сборы, «День допризывника», спортивные состязания среди призывников и допризывников «А ну-ка, парни!», окружная спартакиада допризывной молодежи,  соревнования по стрельбе из пневматической винтовки. В рамках месячника оборонно-массовой работы проводились мероприятия для призывников в январе-феврале.  Окружная команда  принимает участие в областной спартакиаде допризывной молодежи. Тестирование уровня физической подготовленности молодежи призывного и допризывного возраста проводится ежегодно.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Организация физкультурно-массовой и спортивной работы.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Виды спорта, успешно развивающиеся в округе - волейбол, пляжный волейбол, футбол, теннис, самбо, бокс, легкая атлетика, хоккей, лыжный спорт, ручной мяч.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округе две детско-юношеские спортивные школы, численность населения  занимающегося  физической культурой и спортом превышает 25,7 тысяч человек. Для занятий физической культурой и спортом в рабочем состоянии находятся 157 спортивных сооружений; массовые спортивные разряды выполнили 1450 человек, 10 перворазрядников, 5 КМС. В 2018 году округ принял участие в финале </w:t>
      </w:r>
      <w:r w:rsidRPr="00F2740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2740C">
        <w:rPr>
          <w:rFonts w:ascii="Times New Roman" w:hAnsi="Times New Roman" w:cs="Times New Roman"/>
          <w:sz w:val="28"/>
          <w:szCs w:val="28"/>
        </w:rPr>
        <w:t xml:space="preserve"> летних сельских спортивных играх «Золотой колос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Оренбужья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», в общекомандном зачете команда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округа заняла 2-е место. Лучший результат с 1996 года. В 2019 году  сумма средств, выделенных на физическую культуру и спорт в округе, составила 51948,2 тыс. руб.  Комитет по физической культуре, спорту, туризму, делам молодежи и работе с общественными организациями ежегодно формирует календарный план физкультурно-оздоровительных и спортивно-массовых мероприятий.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В прошлом году проведено 121 мероприятие, из них выезды на областные – 39, участие во Всероссийских – 7, остальные - окружного уровня.  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округе проводится ряд  традиционных спортивных мероприятий: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 xml:space="preserve">Первенство округа  по стрельбе из пневматической винтовки; Лично-командный турнир по настольному теннису памяти воинов – земляков Пискунова Т.,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Шудобаева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Р.,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Батишева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О. - участников локальных войн проводился на родине этих ребят в с.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Тамар-Уткуль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Соревнования по армрестлингу и гиревому спорту, турниры и спартакиады в сельских поселениях округа; комплекс мероприятий, посвященных Дню молодежи, проводились соответственно плану спортивные соревнования по футболу, волейболу среди юношей и девушек, настольному теннису и шахматам (соревнования проходили под девизом «Молодежь Оренбуржья за здоровую Россию»); в августе турнир по боксу памяти И.С. Шишкина, участников – 140 человек.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В сентябре традиционный Всероссийский «Кросс наций-2019», а также окружные соревнования по гандболу посвящённые памяти Кавалера Ордена Мужества Анатолия Смирнова, фестиваль волейбола среди девушек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Солёнушка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собрал в 2019 году 34 команды из различных регионов страны. Спортивные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соревнования, посвященные Дню физкультурника: пляжный волейбол, футбол и турнир по шахматам. За 2019 год  проводились спортивные мероприятия, в которых приняло участие свыше 8000 человек  различных возрастных категорий.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округа продолжается работа по внедрению Всероссийского физкультурно-спортивного комплекса «Готов к труду и обороне». В соответствии с планом мероприятий по внедрению комплекса ГТО, 45% старшеклассников образовательных учреждений округа были протестированы в 1 квартале и 40% старшеклассников образовательных учреждений округа были протестированы в 4 квартале 2019 года. Полномочия Центра тестирования в округе возложены на муниципальное автономное учреждение «Физкультурно-спортивный центр». В 2019 году проведено 12 муниципальных мероприятий по реализации комплекса ГТО, в них приняли участие 697 человек.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минувшем году для подготовки и выполнения нормативов комплекса ГТО была введена в эксплуатацию специальная спортивная площадка на стадионе «Юность». На её возведение были выделены средства в размере 3139,4 тыс. руб., в том числе из федерального бюджета – 2953,53 тыс. руб., областного – 123,07 тыс. руб. и местного – 62,8 тыс. руб.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740C">
        <w:rPr>
          <w:rFonts w:ascii="Times New Roman" w:hAnsi="Times New Roman" w:cs="Times New Roman"/>
          <w:i/>
          <w:sz w:val="28"/>
          <w:szCs w:val="28"/>
        </w:rPr>
        <w:t xml:space="preserve">Молодёжная политика. </w:t>
      </w: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проживает 13 222 молодых человека в возрасте от 14 до 35 лет.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действовала  муниципальная  программа «Молодёжь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округа». В  бюджете городского округа  на поддержку инновационных проектов, реализуемых на территории муниципального образования,  были предусмотрены средства в размере 170,0 тыс. рублей.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2020 год по муниципальной программе «Молодёжь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округа» запланировано 60,0 тыс. руб.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молодёжь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принимала  участие в областных мероприятиях: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740C">
        <w:rPr>
          <w:rFonts w:ascii="Times New Roman" w:hAnsi="Times New Roman" w:cs="Times New Roman"/>
          <w:sz w:val="28"/>
          <w:szCs w:val="28"/>
        </w:rPr>
        <w:t xml:space="preserve">в Евразийском фестивале студенческого творчества «На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Николаевской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 –  2019»;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в конкурсе «Золотая молодежь Оренбуржья – 2019»;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- в конкурсе «Моя страна - моя Россия»</w:t>
      </w:r>
      <w:r w:rsidRPr="00F2740C">
        <w:rPr>
          <w:rFonts w:ascii="Times New Roman" w:hAnsi="Times New Roman" w:cs="Times New Roman"/>
          <w:sz w:val="28"/>
          <w:szCs w:val="28"/>
        </w:rPr>
        <w:t>;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- в конкурсе «Лучшая многодетная семья «Оренбуржья»</w:t>
      </w:r>
      <w:r w:rsidRPr="00F2740C">
        <w:rPr>
          <w:rFonts w:ascii="Times New Roman" w:hAnsi="Times New Roman" w:cs="Times New Roman"/>
          <w:sz w:val="28"/>
          <w:szCs w:val="28"/>
        </w:rPr>
        <w:t>;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 xml:space="preserve">- 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в областном конкурсе «Молодая семья Оренбуржья»;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- в Межрегиональном фестивале военно-патриотической песни «Долг. Честь. Родина»;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-</w:t>
      </w:r>
      <w:r w:rsidRPr="00F2740C">
        <w:rPr>
          <w:rFonts w:ascii="Times New Roman" w:hAnsi="Times New Roman" w:cs="Times New Roman"/>
          <w:sz w:val="28"/>
          <w:szCs w:val="28"/>
        </w:rPr>
        <w:t xml:space="preserve"> в зональном этапе областных военно-спортивных  соревнований  «А ну-ка, парни!»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- в зональном этапе областных спортивных игр «Зарница»;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- «Добро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Онлайн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ab/>
        <w:t xml:space="preserve">На сегодняшний день в Соль - Илецком городском округе активно работает волонтёрское движение: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Сертифицированные волонтёры по профильной программе «Марафон здоровья» проводят профилактические тренинги и профилактические презентации по темам: «АНТИТАБАК», «НАРКОСТОП», «АНТИСПИД», «АЛКОСТОП».  Социальным    агентством «Здоровье молодёжи» прошли отбор как лучшие волонтёры нашего округа: Артём Павлов,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Ильфат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Зайнутдинов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в сменах «Лучшие из лучших» и «Добро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 Леонид Поляков   (эти волонтёры  не раз приглашались на профильные смены в качестве кураторов).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летний период на территории округа было организовано  7  трудовых бригад, летние трудовые лагеря, лагеря дневного пребывания при ОУ, 1 лагерь круглосуточного пребывания (80 человек). На базе ДОЛ «Янтарь» в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Оренбурге  отдохнуло 38 подростков.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При СДК работало 32 площадки по месту жительства. Специалистом по делам молодежи площадкам оказывалась консультативная помощь, приобретались канцелярские товары и мелкий спортинвентарь.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sz w:val="28"/>
        </w:rPr>
        <w:t xml:space="preserve">Около 120 волонтёров принимали  участие в организации и проведении </w:t>
      </w:r>
      <w:r w:rsidRPr="00F2740C">
        <w:rPr>
          <w:rFonts w:ascii="Times New Roman" w:hAnsi="Times New Roman" w:cs="Times New Roman"/>
          <w:sz w:val="28"/>
          <w:lang w:val="en-US"/>
        </w:rPr>
        <w:t>VI</w:t>
      </w:r>
      <w:r w:rsidRPr="00F2740C">
        <w:rPr>
          <w:rFonts w:ascii="Times New Roman" w:hAnsi="Times New Roman" w:cs="Times New Roman"/>
          <w:sz w:val="28"/>
        </w:rPr>
        <w:t xml:space="preserve">  Международного  фестиваля волейбола «</w:t>
      </w:r>
      <w:proofErr w:type="spellStart"/>
      <w:r w:rsidRPr="00F2740C">
        <w:rPr>
          <w:rFonts w:ascii="Times New Roman" w:hAnsi="Times New Roman" w:cs="Times New Roman"/>
          <w:sz w:val="28"/>
        </w:rPr>
        <w:t>Солёнушка</w:t>
      </w:r>
      <w:proofErr w:type="spellEnd"/>
      <w:r w:rsidRPr="00F2740C">
        <w:rPr>
          <w:rFonts w:ascii="Times New Roman" w:hAnsi="Times New Roman" w:cs="Times New Roman"/>
          <w:sz w:val="28"/>
        </w:rPr>
        <w:t>» (31.05.-05.06) среди девушек.</w:t>
      </w:r>
      <w:r w:rsidRPr="00F2740C">
        <w:rPr>
          <w:rFonts w:ascii="Times New Roman" w:hAnsi="Times New Roman" w:cs="Times New Roman"/>
          <w:sz w:val="28"/>
          <w:szCs w:val="28"/>
        </w:rPr>
        <w:t xml:space="preserve"> Участниками фестиваля стали</w:t>
      </w:r>
      <w:r w:rsidRPr="00F2740C">
        <w:rPr>
          <w:rFonts w:ascii="Times New Roman" w:hAnsi="Times New Roman" w:cs="Times New Roman"/>
          <w:sz w:val="28"/>
        </w:rPr>
        <w:t xml:space="preserve"> более четырёхсот человек из различных регионов России и Казахстана. Волонтёры проводили встречи, сопровождали делегации, координировали их передвижение, помогали на спортивных площадках, в организации концертных мероприятий и экскурсий. 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Волонтёры поддержали такие мероприятия: Межрегиональный фестиваль «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арбуз», форум работающей молодёжи «</w:t>
      </w:r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  <w:lang w:val="en-US"/>
        </w:rPr>
        <w:t>PRO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качаем Оренбуржье»,  конференция по подведению итогов патриотического воспитания. Также в 2019 году волонтёры приняли участие в совместных акциях по линии ОМВД России по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городскому округу: «Осторожно мошенники», «Пристегнись, Россия», «Неделя безопасности!» и др. Ко Дню студента прошла акция «Студенческий десант» при поддержке ОМВД России по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Соль-Илецкому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городскому округу.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С участием волонтеров и работающей молодежи прошли многочисленные мероприятия, посвящённые 74-годовщине Победы («Вахта Памяти», </w:t>
      </w:r>
      <w:r w:rsidRPr="00F2740C">
        <w:rPr>
          <w:rFonts w:ascii="Times New Roman" w:hAnsi="Times New Roman" w:cs="Times New Roman"/>
          <w:sz w:val="28"/>
          <w:szCs w:val="28"/>
        </w:rPr>
        <w:t xml:space="preserve">акция «Бессмертный полк», «Вальс Победы», 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«А ну-ка, парни!», «Зарница!», </w:t>
      </w:r>
      <w:r w:rsidRPr="00F2740C">
        <w:rPr>
          <w:rFonts w:ascii="Times New Roman" w:hAnsi="Times New Roman" w:cs="Times New Roman"/>
          <w:sz w:val="28"/>
          <w:szCs w:val="28"/>
        </w:rPr>
        <w:t>акция «Георгиевская ленточка», спартакиада допризывной молодежи, «Дорога к обелиску»; легкоатлетическая эстафета,  посвященная Дню Победы в Великой Отечественной войне; прошёл ежегодный традиционный месячник оборонно-массовой и спортивной работы).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Активизируется деятельность </w:t>
      </w:r>
      <w:r w:rsidRPr="00F2740C">
        <w:rPr>
          <w:rFonts w:ascii="Times New Roman" w:hAnsi="Times New Roman" w:cs="Times New Roman"/>
          <w:sz w:val="28"/>
          <w:szCs w:val="28"/>
        </w:rPr>
        <w:t>координационного совета по вопросам добровольчества (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волонтёрства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) при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городской округ.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5 декабря  провели заседание координационного совета (также конкурс волонтёрских отрядов), на котором 8 лучших волонтёров награждены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благодарственными письмами главы 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Работают волонтёрские объединения при ЦТР Детская общественная организация «Радуга»  в организации состоит 3379 человек (это ЦТР и 32 первичных школьных организации), при МОБУ «СОШ № 7» - «Надежда России», при МАОУ «СОШ  № 5»  - «Источник добра».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На базе «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индустриально-технологического техникума» и в образовательных учреждениях работает юношеское </w:t>
      </w:r>
      <w:proofErr w:type="spellStart"/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военно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- патриотическое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общественное движения «ЮНАРМИЯ».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городском округе работает ВОО «Молодая Гвардия» при поддержке партии «Единая Россия» (14 человек), председатель Игорь Томилов.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При Совете депутатов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городского округа работает Молодёжная палата (16 человек), председатель Шамиль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Кузинов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. Члены ВОО «Молодая Гвардия» и Молодёжной палаты принимают активное участие во всех культурно-массовых  и спортивных мероприятиях городского округа.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В 2019 году городской округ принял участников и организовал на своей территории такие мероприятия как: </w:t>
      </w:r>
      <w:r w:rsidRPr="00F2740C">
        <w:rPr>
          <w:rFonts w:ascii="Times New Roman" w:hAnsi="Times New Roman" w:cs="Times New Roman"/>
          <w:spacing w:val="2"/>
          <w:sz w:val="28"/>
          <w:szCs w:val="28"/>
          <w:lang w:val="en-US"/>
        </w:rPr>
        <w:t>VIII</w:t>
      </w:r>
      <w:r w:rsidRPr="00F2740C">
        <w:rPr>
          <w:rFonts w:ascii="Times New Roman" w:hAnsi="Times New Roman" w:cs="Times New Roman"/>
          <w:spacing w:val="2"/>
          <w:sz w:val="28"/>
          <w:szCs w:val="28"/>
        </w:rPr>
        <w:t xml:space="preserve"> Международный  молодёжный  промышленный  форум «Инженеры будущего-2019», Международный молодёжный образовательный форум «Евразия </w:t>
      </w:r>
      <w:r w:rsidRPr="00F2740C">
        <w:rPr>
          <w:rFonts w:ascii="Times New Roman" w:hAnsi="Times New Roman" w:cs="Times New Roman"/>
          <w:spacing w:val="2"/>
          <w:sz w:val="28"/>
          <w:szCs w:val="28"/>
          <w:lang w:val="en-US"/>
        </w:rPr>
        <w:t>Global</w:t>
      </w:r>
      <w:r w:rsidRPr="00F2740C">
        <w:rPr>
          <w:rFonts w:ascii="Times New Roman" w:hAnsi="Times New Roman" w:cs="Times New Roman"/>
          <w:spacing w:val="2"/>
          <w:sz w:val="28"/>
          <w:szCs w:val="28"/>
        </w:rPr>
        <w:t>»,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Фестиваль работающей молодёжи «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  <w:lang w:val="en-US"/>
        </w:rPr>
        <w:t>PRO</w:t>
      </w: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качаем Оренбуржье 2.0».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3"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В проведении мероприятий молодёжной направленности  вовлечена и работающая молодежь: ФБУ ИК № 6 УФСИН России по Оренбургской области,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РУЭС, УФМС России по Оренбургской области </w:t>
      </w:r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городском округе, филиал ОАО «Газпром газораспределение Оренбург» в г. Соль-Илецке, </w:t>
      </w:r>
      <w:proofErr w:type="spellStart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индустриально-технологический техникум, образовательные учреждения, городского округа.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2.1  Работа с обращениями  граждан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2019 году в адрес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поступило 279 письменных обращений, на каждое из них даны ответы и разъяснения также в письменной форме. В рамках проведения личных приёмов принято всего 825 человек, в том числе главой округа – 258.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Значима роль проходивших в отчётном году во всех территориальных отделах встреч руководителей муниципального образования с населением. Такие встречи в значительной степени помогают получать и оперативно решать вопросы, которые волнуют население, особенно граждан пожилого возраста.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740C">
        <w:rPr>
          <w:rFonts w:ascii="Times New Roman" w:hAnsi="Times New Roman" w:cs="Times New Roman"/>
          <w:sz w:val="28"/>
          <w:szCs w:val="28"/>
          <w:shd w:val="clear" w:color="auto" w:fill="FFFFFF"/>
        </w:rPr>
        <w:t>Все обращения и предложения, поступившие в ходе собраний граждан,                            находятся в администрации на контроле, анализируются и в дальнейшем используются в работе.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       Активная работа с обращениями граждан ведётся  на электронных ресурсах администрации округа. График приёма граждан главой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и заместителями размещён на сайте администрации. Один раз в квартал публикуется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аккаунтах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администрации в социальных сетях, в газете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Защита», в эфире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телевидения.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мере необходимости публикуются графики приёмов граждан, связанных с визитами должностных лиц и ко Дню Конституции.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округа, в группах администрации в социальных сетях (ВК,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Одноклассники,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Фейсбук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) обеспечено системное информирование населения о решениях, деятельности, мероприятиях органа местного самоуправления. 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 сайте администрации в разделе «Полезные телефоны» размещены телефоны горячих линий, экстренные номера различных служб и ведомств. В том числе телефоны, по которым следует обращаться по вопросам оказания помощи семьям и детям, находящимся в трудной жизненной ситуации, о коррупционных проявлениях в деятельности органов местного самоуправления.</w:t>
      </w:r>
      <w:r w:rsidRPr="00F2740C">
        <w:rPr>
          <w:rFonts w:ascii="Times New Roman" w:hAnsi="Times New Roman" w:cs="Times New Roman"/>
          <w:b/>
          <w:bCs/>
          <w:color w:val="333333"/>
          <w:spacing w:val="6"/>
          <w:sz w:val="28"/>
        </w:rPr>
        <w:t xml:space="preserve"> </w:t>
      </w:r>
      <w:r w:rsidRPr="00F2740C">
        <w:rPr>
          <w:rFonts w:ascii="Times New Roman" w:hAnsi="Times New Roman" w:cs="Times New Roman"/>
          <w:sz w:val="28"/>
          <w:szCs w:val="28"/>
        </w:rPr>
        <w:t xml:space="preserve">Один раз в квартал данная информация дублируются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аккаунтах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администрации в социальных сетях.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Глава и заместители главы администрации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проводят прямые линии с жителями муниципального образования в редакции газеты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Защита», начальники отделов – отвечают на вопросы журналистов рамках брифингов и пресс-туров.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современных условиях повышение  эффективности взаимодействия органов местного самоуправления и граждан невозможно без внедрения элементов автоматизации. В связи с этим раздел «Вопросы главе» работает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аккаунте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администрации в социальной сети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, где каждый желающий может обратиться с предложением, заявлением или жалобой. За 2019 год поступило 23 обращения.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Кроме этого администрация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работает в системе «Инцидент-менеджмент». В 2019 году отработано в положенные сроки 180 обращений.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Ежедневно информация о поступивших обращениях подается главе муниципального образования. На еженедельных аппаратных совещаниях ответственный специалист докладывает о наиболее актуальных темах обращений, поступивших через систему.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Наибольшее количество обращений касается состояния дорог, благоустройства, ЖКХ, обеспечения жильём, безопасности (безнадзорные животные), работы общественного транспорта.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740C">
        <w:rPr>
          <w:rFonts w:ascii="Times New Roman" w:hAnsi="Times New Roman" w:cs="Times New Roman"/>
          <w:b/>
          <w:sz w:val="28"/>
          <w:szCs w:val="28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2740C">
        <w:rPr>
          <w:rFonts w:ascii="Times New Roman" w:hAnsi="Times New Roman" w:cs="Times New Roman"/>
          <w:sz w:val="28"/>
          <w:szCs w:val="28"/>
        </w:rPr>
        <w:lastRenderedPageBreak/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осуществляет межмуниципальное сотрудничество, в первую очередь, с соседними районами –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Акбулакским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Беляевским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Илекским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Оренбургским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. Проводятся совместные культурные, спортивные, деловые мероприятия, а также обмен опытом в сферах образования, здравоохранения,  сельского хозяйства. 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Округ сотрудничает и с другими районами Оренбургской области, а также приграничными территориями Республики Казахстан.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Международном форуме «Оренбуржье- сердце Евразии» в рамках рабочей группы по сотрудничеству Оренбургской области Российской Федерации и Республики Беларусь, 21 ноября 2019 года было подписано соглашение об установлении побратимских связей между Администрацией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Российской Федерации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Солигорским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районным исполнительным комитетом Минской области Республики Беларусь.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Оренбурге 29 ноября 2019 года состоялся региональный форум «ОРЕНЭТНО» в данном мероприятии приняли участие муниципальные служащие, ответственные за межнациональные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межконфесиональные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отношения, лидеры местных национально-культурных общественных объединений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округа. Основной целью мероприятия стало создание единой региональной площадки для обмена опытом в реализации государственной национальной политики России в муниципальных образованиях региона, а также обсуждение перспектив развития сферы межнациональных отношений в Оренбуржье.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Общественно-политическая ситуация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 устойчиво сохраняет характеристики стабильности и прогнозируется, благодаря системе эффективного регулирования всех влияющих на неё факторов. Наиболее очевидным фактором, определяющим состояние общественно-политической обстановки, является деятельность общественных объединений на территории округа. Особое местоположение в решении вопросов гармонизации межэтнических и межконфессиональных отношений занимают национально-культурные общественные объединения.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округа работают  национально-культурные автономии: татарская и казахская (зарегистрированы)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городская культурно-просветительская общественная организация российских немцев «Возрождение» (без регистрации) и Азербайджанская автономия (без регистрации).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Между национально-культурными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>, общественными объединениями и администрацией округа сложились традиционно конструктивные, партнёрские отношения, им оказывается организационная, методическая поддержка.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Действуют общественные организации и объединения: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общественно-политический совет при главе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волонтёрское движение, в рядах которого 3050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>- юношеское патриотическое общественное движение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», 10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молодёжная палата при Совете депутатов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округа, 16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общественная организация пенсионеров, инвалидов, ветеранов войны, труда, Вооруженных Сил и правоохранительных органов, 14 102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местное отделение «Всероссийского общества инвалидов», 2148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народная дружина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округ, 116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ОООО «Совет женщин»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округе, 139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станичное казачье общество, 101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- хуторское казачье общество «Вольное», 37 человек;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хуторское казачье общество «Станица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Линёвская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»;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местная татарская национально-культурная автономия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общественная организация «Казахская национально культурная автономия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 (председатель К.К.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Сариев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);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- член Общественной палаты Оренбургской области В.Ф.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Золотцева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Местные отделения политических партий: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райком КПРФ; Местное отделение ВПП «Единая Россия»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округа; Местное отделение политической партии «Справедливая Россия»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городском округе;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 местное отделение ЛДПР.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При главе муниципального образования действует консультативный орган – общественно-политический совет, в который входят представители национально-культурных объединений и религиозных организаций.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По итогам 2019 года в рамках муниципальной программы «Гармонизация межэтнических и межконфессиональных отношений на территории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 в полном объёме реализовано 8 мероприятий. Расходы по реализации муниципальной программы в 2019 году произведены в сумме 50 тыс. рублей.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17 апреля 2019 года состоялся круглый стол с участием сотрудников правоохранительных органов, представителей религиозных организаций, общественных организаций, национально-культурных автономий и национальных диаспор на тему: «Взаимодействие в вопросах гармонизации межнациональных межконфессиональных отношений, противодействия терроризму и экстремизму, в целях профилактики межнациональных конфликтов и сохранения стабильности в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этноконфессиональной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среде»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При администрации действует ряд коллегиальных органов, призванных способствовать обеспечению социально-экономической стабильности,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поддержанию законности и правопорядка, удовлетворению жизненных потребностей жителей. Это общественно-политический совет, общественный совет по улучшению инвестиционного климата, совет по развитию малого и среднего предпринимательства, антитеррористическая комиссия. </w:t>
      </w:r>
      <w:proofErr w:type="gramStart"/>
      <w:r w:rsidRPr="00F2740C">
        <w:rPr>
          <w:rFonts w:ascii="Times New Roman" w:hAnsi="Times New Roman" w:cs="Times New Roman"/>
          <w:sz w:val="28"/>
          <w:szCs w:val="28"/>
        </w:rPr>
        <w:t>Комиссии по обеспечению безопасности дорожного движения,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2" w:tgtFrame="_blank" w:history="1">
        <w:r w:rsidRPr="00F2740C">
          <w:rPr>
            <w:rFonts w:ascii="Times New Roman" w:hAnsi="Times New Roman" w:cs="Times New Roman"/>
            <w:color w:val="000000"/>
            <w:sz w:val="28"/>
          </w:rPr>
          <w:t>снижению смертности и увеличению продолжительности жизни населения</w:t>
        </w:r>
      </w:hyperlink>
      <w:r w:rsidRPr="00F2740C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3" w:tgtFrame="_blank" w:history="1">
        <w:r w:rsidRPr="00F2740C">
          <w:rPr>
            <w:rFonts w:ascii="Times New Roman" w:hAnsi="Times New Roman" w:cs="Times New Roman"/>
            <w:color w:val="000000"/>
            <w:sz w:val="28"/>
          </w:rPr>
          <w:t>по вопросам развития агропромышленного комплекса</w:t>
        </w:r>
      </w:hyperlink>
      <w:r w:rsidRPr="00F2740C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4" w:tgtFrame="_blank" w:history="1">
        <w:r w:rsidRPr="00F2740C">
          <w:rPr>
            <w:rFonts w:ascii="Times New Roman" w:hAnsi="Times New Roman" w:cs="Times New Roman"/>
            <w:color w:val="000000"/>
            <w:sz w:val="28"/>
          </w:rPr>
          <w:t>противодействию злоупотреблению наркотическими средствами и их незаконному обороту</w:t>
        </w:r>
      </w:hyperlink>
      <w:r w:rsidRPr="00F2740C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5" w:tgtFrame="_blank" w:history="1">
        <w:r w:rsidRPr="00F2740C">
          <w:rPr>
            <w:rFonts w:ascii="Times New Roman" w:hAnsi="Times New Roman" w:cs="Times New Roman"/>
            <w:color w:val="000000"/>
            <w:sz w:val="28"/>
          </w:rPr>
          <w:t xml:space="preserve"> координации в сфере доступной среды жизнедеятельности для инвалидов и других </w:t>
        </w:r>
        <w:proofErr w:type="spellStart"/>
        <w:r w:rsidRPr="00F2740C">
          <w:rPr>
            <w:rFonts w:ascii="Times New Roman" w:hAnsi="Times New Roman" w:cs="Times New Roman"/>
            <w:color w:val="000000"/>
            <w:sz w:val="28"/>
          </w:rPr>
          <w:t>маломобильных</w:t>
        </w:r>
        <w:proofErr w:type="spellEnd"/>
        <w:r w:rsidRPr="00F2740C">
          <w:rPr>
            <w:rFonts w:ascii="Times New Roman" w:hAnsi="Times New Roman" w:cs="Times New Roman"/>
            <w:color w:val="000000"/>
            <w:sz w:val="28"/>
          </w:rPr>
          <w:t xml:space="preserve"> групп населения</w:t>
        </w:r>
      </w:hyperlink>
      <w:r w:rsidRPr="00F2740C">
        <w:rPr>
          <w:rFonts w:ascii="Times New Roman" w:hAnsi="Times New Roman" w:cs="Times New Roman"/>
          <w:sz w:val="28"/>
          <w:szCs w:val="28"/>
        </w:rPr>
        <w:t>, рабочая группа по пресечению незаконного производства и оборота алкогольной продукции и другие.</w:t>
      </w:r>
      <w:proofErr w:type="gramEnd"/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начале 2019 года с целью использования опыта старших поколений в решении социально-экономических задач создан Совет старейшин. В его составе бывшие руководители, уважаемые работники различных сфер, люди с серьёзным жизненным и профессиональным опытом.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Глава муниципального образования представляет интересы жителей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во взаимодействии с органами местного самоуправления других муниципальных образований, органами государственной власти, гражданами и организациями. В этой связи участвовал в заседаниях Законодательного собрания Оренбургской области, заседаниях Правительства Оренбургской  области,  в мероприятиях, проводимых Советом (Ассоциацией) муниципальных образований Оренбургской области, Совета при Губернаторе по вопросам развития моногородов, в рамках которых проходило активное обсуждение вопросов социально-экономического развития как области в целом, так 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в частности.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было принято постановление от 28.05.2019 № 1134-п «О создании  комиссии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Оренбургской области по проведению Всероссийской переписи населения 2020 года», которым был утвержден состав комиссии и положение. За истекший подготовительный период 2019 года было проведено 4 заседания Комиссии  и 4 заседания рабочей группы по вопросам подготовки и проведения Всероссийской переписи населения 2020 года в муниципальном образовании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Оренбургской области.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В 2018 году начата работа по внедрению   гибкого и максимально приближенного к населению института местного самоуправления  – территориального общественного самоуправления (ТОС). Данная форма организации граждан позволяет при прямом участии населения решать проблемы на уровне округа, группы домов. Приняты необходимые муниципальные нормативные правовые акты по созданию и организации деятельности территориального общественного самоуправления.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образовано пять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>: «Дружба» в пределах села Дружба, «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» в пределах посёлка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, «Трудовое» в пределах села Трудовое, «Первомайский» в пределах села Первомайское, «Василёк» в пределах улицы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Гонтаренко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(дома № 1-28) города Соль-Илецка. ТОС «Первомайский» 26 июня 2019 года принял участие и стал победителем в  номинации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«Самая инициативная территория» в </w:t>
      </w:r>
      <w:r w:rsidRPr="00F2740C">
        <w:rPr>
          <w:rFonts w:ascii="Times New Roman" w:hAnsi="Times New Roman" w:cs="Times New Roman"/>
          <w:sz w:val="28"/>
          <w:szCs w:val="28"/>
        </w:rPr>
        <w:t xml:space="preserve">Межрегиональном  конкурсе  «Деревенька моя».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На территории  муниципального образования продолжает развиваться общественная организация «Народная дружина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округа». Общее количество народных дружинников на 31.12.2019 года -116.  Все обеспечены  соответствующими удостоверениями и нагрудными знаками. В состав штаба народной дружины вошли представители администрации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округа, силовых структур, казачества,  руководители предприятий и организаций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– известные и уважаемые люди, чей авторитет, надеемся, поможет в организации деятельности общественной организации.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Совместно с сотрудниками полиции народные дружинники обеспечивают охрану общественного порядка и общественной безопасности, в том числе недопущение террористических актов, экстремистских проявлений и иных противоправных действий в период подготовки и проведения массовых мероприятий.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          В январе 2019 года приняли участие в ежегодном областном конкурсе «Лучший народный дружинник  Оренбургской области», где победителем стал Виноградов Максим Егорович. Указом  Губернатора области  от  11.12.2019  № 592  пять членов  народной дружины награждены  денежной премией.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рамках комплексной программы «Профилактика правонарушений, обеспечение общественного порядка и противодействия преступности на территории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2016 - 2019 год» в 2019 году было  выделено и освоено 300 000 рублей (на личное страхование дружинников, приобретение ГСМ, оргтехники).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>За 2019 год дружинниками проведено 247  мероприятий по охране общественного порядка, в том числе патрулирование на улицах и в общественных местах, участие в охране общественного порядка и безопасности при проведении спортивных, культурно-зрелищных и иных массовых мероприятий.  Пресечено  62</w:t>
      </w:r>
      <w:r w:rsidRPr="00F2740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F2740C">
        <w:rPr>
          <w:rFonts w:ascii="Times New Roman" w:hAnsi="Times New Roman" w:cs="Times New Roman"/>
          <w:sz w:val="28"/>
          <w:szCs w:val="28"/>
        </w:rPr>
        <w:t>административных правонарушений.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В целях поощрения за заслуги в содействии проведению социально-экономической политики, развитию местного самоуправления, осуществлению мер по развитию экономики, науки и культуры, образования, охраны здоровья, жизни и прав граждан и иные заслуги ежегодно проводится награждение жителей городского округа муниципальными наградами. В 2019 году Благодарности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 вручены 19 жителям городского округа, Благодарственные письма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- 348 жителям. Почётными грамотами награждены 6 человек (среди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>них работники образования, культуры, здравоохранения, предприятий промышленности и сельского хозяйства, органов местного самоуправления).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Деятельность главы по решению вопросов, поставленных Советом депутатов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2019 году проводилась работа по исполнению решения Совета депутатов от 13.12.2018 № 748 «Об утверждении перечня наказов избирателей, принятых депутатами Совета депутатов муниципального образования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городской округ на 2019 год».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Проведены работы по организации уличного освещения, а также приведены в нормативное состояние 1,608 км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ороги по улице Комсомольская. В рамках реализации муниципальной программы «Развитие туризма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Соль-Илецком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городском округе» выполнены работы по реконструкции улиц Крюковская 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Персиянова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с обустройством тротуаров для пешеходов и освещения. Проведена профилировка дорожного покрытия на улицах микрорайона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Восточный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, общая стоимость работ составила 397 тыс. рублей. В августе 2019 года выполнен ремонт спортивного зала СОШ № 5 г. Соль-Илецка, в объёме 150 тыс. рублей.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соответствии с требованиями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ГОСТа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оборудован пешеходный переход на перекрёстке улиц Победы и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Сорокинской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(в рамках реконструкции подъездной дороги до РОК «Солёные озёра»).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В микрорайоне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Северный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организовано движение общественного транспорта по улицам Арендная,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Рычковская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, Есенина, Украинская. Организованы регулярные межпоселковые пассажирские перевозки в сельские населённые пункты – Буранное,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Новоилецк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Линёвка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 по регулируемым тарифам, перевозки осуществляет МУП «БИО». Произведена замена 13 оконных блоков в Григорьевской СОШ, на сумму 300 тыс. рублей. Продолжается в настоящее время масштабная реконструкция улицы Пушкина. Выполнены также наказы избирателей по благоустройству дворовой территории многоквартирных жилых домов по улицам </w:t>
      </w:r>
      <w:proofErr w:type="spellStart"/>
      <w:r w:rsidRPr="00F2740C">
        <w:rPr>
          <w:rFonts w:ascii="Times New Roman" w:hAnsi="Times New Roman" w:cs="Times New Roman"/>
          <w:bCs/>
          <w:sz w:val="28"/>
          <w:szCs w:val="28"/>
        </w:rPr>
        <w:t>Орская</w:t>
      </w:r>
      <w:proofErr w:type="spellEnd"/>
      <w:r w:rsidRPr="00F2740C">
        <w:rPr>
          <w:rFonts w:ascii="Times New Roman" w:hAnsi="Times New Roman" w:cs="Times New Roman"/>
          <w:bCs/>
          <w:sz w:val="28"/>
          <w:szCs w:val="28"/>
        </w:rPr>
        <w:t xml:space="preserve">, 108, 108А, 110,112,114 и </w:t>
      </w:r>
      <w:proofErr w:type="gramStart"/>
      <w:r w:rsidRPr="00F2740C">
        <w:rPr>
          <w:rFonts w:ascii="Times New Roman" w:hAnsi="Times New Roman" w:cs="Times New Roman"/>
          <w:bCs/>
          <w:sz w:val="28"/>
          <w:szCs w:val="28"/>
        </w:rPr>
        <w:t>Красноармейская</w:t>
      </w:r>
      <w:proofErr w:type="gramEnd"/>
      <w:r w:rsidRPr="00F2740C">
        <w:rPr>
          <w:rFonts w:ascii="Times New Roman" w:hAnsi="Times New Roman" w:cs="Times New Roman"/>
          <w:bCs/>
          <w:sz w:val="28"/>
          <w:szCs w:val="28"/>
        </w:rPr>
        <w:t>, 121,123.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 xml:space="preserve">В конце 2019-го начале 2020 года были выполнены работы по реконструкции уличного освещения в селе Саратовка, и посёлке Кирпичный завод, установлено 140 светильников.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bCs/>
          <w:sz w:val="28"/>
          <w:szCs w:val="28"/>
        </w:rPr>
        <w:t>По сложившейся практике, все устные вопросы и обращения, поступающие в администрацию округа от депутатов, решаются в рабочем порядке. Есть немало примеров, когда оперативная совместная работа исполнительного и представительного органов местного самоуправления приводит к положительным результатам.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740C" w:rsidRPr="00F2740C" w:rsidRDefault="00F2740C" w:rsidP="00F27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40C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sz w:val="28"/>
          <w:szCs w:val="28"/>
        </w:rPr>
        <w:t xml:space="preserve">Ушедший в историю 2019-й – год 265-летия города Соль-Илецка, как и все предыдущие периоды, стал для нашего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F2740C">
        <w:rPr>
          <w:rFonts w:ascii="Times New Roman" w:hAnsi="Times New Roman" w:cs="Times New Roman"/>
          <w:sz w:val="28"/>
          <w:szCs w:val="28"/>
        </w:rPr>
        <w:lastRenderedPageBreak/>
        <w:t xml:space="preserve">плодотворным. Совместная и слаженная работа органов местного самоуправления, </w:t>
      </w:r>
      <w:r w:rsidRPr="00F2740C">
        <w:rPr>
          <w:rFonts w:ascii="Times New Roman" w:hAnsi="Times New Roman" w:cs="Times New Roman"/>
          <w:color w:val="2E2E2E"/>
          <w:sz w:val="28"/>
          <w:szCs w:val="28"/>
        </w:rPr>
        <w:t xml:space="preserve">руководителей предприятий и организаций, депутатского корпуса, эффективное взаимодействие с общественностью позволили достигнуть положительной динамики по ряду направлений социально-экономического развития округа. 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2E2E"/>
          <w:sz w:val="28"/>
          <w:szCs w:val="28"/>
        </w:rPr>
      </w:pPr>
      <w:r w:rsidRPr="00F2740C">
        <w:rPr>
          <w:rFonts w:ascii="Times New Roman" w:hAnsi="Times New Roman" w:cs="Times New Roman"/>
          <w:color w:val="2E2E2E"/>
          <w:sz w:val="28"/>
          <w:szCs w:val="28"/>
        </w:rPr>
        <w:t>Но в прошедшем году удалось сделать далеко не все задуманное. Поэтому  впереди дальнейшее решение многих задач по улучшению  финансово-экономического положения муниципального образования, привлечению инвестиций, реконструкции и строительству объектов социальной сферы, дорожной и коммунальной инфраструктуры,  решению проблем жизнеобеспечения в сельских территориях.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2E2E"/>
          <w:sz w:val="28"/>
          <w:szCs w:val="28"/>
        </w:rPr>
      </w:pPr>
      <w:r w:rsidRPr="00F2740C">
        <w:rPr>
          <w:rFonts w:ascii="Times New Roman" w:hAnsi="Times New Roman" w:cs="Times New Roman"/>
          <w:color w:val="2E2E2E"/>
          <w:sz w:val="28"/>
          <w:szCs w:val="28"/>
        </w:rPr>
        <w:t>Приоритетом в деятельности органов местного самоуправления продолжает оставаться постоянный конструктивный диалог с жителями округа по решению острых проблем во всех сферах жизнедеятельности.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40C">
        <w:rPr>
          <w:rFonts w:ascii="Times New Roman" w:hAnsi="Times New Roman" w:cs="Times New Roman"/>
          <w:color w:val="2E2E2E"/>
          <w:sz w:val="28"/>
          <w:szCs w:val="28"/>
        </w:rPr>
        <w:t xml:space="preserve">В 2019 году </w:t>
      </w:r>
      <w:proofErr w:type="spellStart"/>
      <w:r w:rsidRPr="00F2740C">
        <w:rPr>
          <w:rFonts w:ascii="Times New Roman" w:hAnsi="Times New Roman" w:cs="Times New Roman"/>
          <w:color w:val="2E2E2E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color w:val="2E2E2E"/>
          <w:sz w:val="28"/>
          <w:szCs w:val="28"/>
        </w:rPr>
        <w:t xml:space="preserve"> городской округ вместе со всей страной вступил в практический этап реализации национальных проектов.</w:t>
      </w:r>
      <w:r w:rsidRPr="00F2740C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 было принято распоряжение от 29.11.2019 № 105-р «О мерах по реализации национальных проектов в муниципальном образовании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округ»,  которым утвержден перечень должностных лиц, ответственных за достижение целей и целевых показателей национальных, региональных проектов в части, касающихся полномочий администрации муниципального образования </w:t>
      </w:r>
      <w:proofErr w:type="spellStart"/>
      <w:r w:rsidRPr="00F2740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2740C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F2740C" w:rsidRPr="00F2740C" w:rsidRDefault="00F2740C" w:rsidP="00F274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0C">
        <w:rPr>
          <w:rFonts w:ascii="Times New Roman" w:hAnsi="Times New Roman" w:cs="Times New Roman"/>
          <w:color w:val="000000"/>
          <w:sz w:val="28"/>
          <w:szCs w:val="28"/>
        </w:rPr>
        <w:t>Жизнь постоянно ставит перед нами новые цели.</w:t>
      </w:r>
      <w:r w:rsidRPr="00F2740C">
        <w:rPr>
          <w:rFonts w:ascii="Times New Roman" w:hAnsi="Times New Roman" w:cs="Times New Roman"/>
          <w:color w:val="2E2E2E"/>
          <w:sz w:val="28"/>
          <w:szCs w:val="28"/>
        </w:rPr>
        <w:t xml:space="preserve"> Только вместе, объединив воедино наши усилия, мы сможем эффективно решать стоящие перед нами задачи, </w:t>
      </w:r>
      <w:r w:rsidRPr="00F2740C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дальнейшее экономическое и социальное развитие округа и сделать наше муниципальное образование  более комфортным и привлекательным для проживания. Только в единой команде и в ежедневном труде мы сможем решить задачи, поставленные Президентом Российской Федерации В.В. Путиным и  Губернатором Оренбургской области Д.В. </w:t>
      </w:r>
      <w:proofErr w:type="spellStart"/>
      <w:r w:rsidRPr="00F2740C">
        <w:rPr>
          <w:rFonts w:ascii="Times New Roman" w:hAnsi="Times New Roman" w:cs="Times New Roman"/>
          <w:color w:val="000000"/>
          <w:sz w:val="28"/>
          <w:szCs w:val="28"/>
        </w:rPr>
        <w:t>Паслером</w:t>
      </w:r>
      <w:proofErr w:type="spellEnd"/>
      <w:r w:rsidRPr="00F2740C">
        <w:rPr>
          <w:rFonts w:ascii="Times New Roman" w:hAnsi="Times New Roman" w:cs="Times New Roman"/>
          <w:color w:val="000000"/>
          <w:sz w:val="28"/>
          <w:szCs w:val="28"/>
        </w:rPr>
        <w:t>, и достичь положительных результатов.</w:t>
      </w:r>
    </w:p>
    <w:p w:rsidR="00F2740C" w:rsidRPr="00F2740C" w:rsidRDefault="00F2740C" w:rsidP="00F27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1FB" w:rsidRDefault="007711FB" w:rsidP="007711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7711FB" w:rsidSect="00371ECC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D4A" w:rsidRDefault="00F94D4A" w:rsidP="008560E9">
      <w:pPr>
        <w:spacing w:after="0" w:line="240" w:lineRule="auto"/>
      </w:pPr>
      <w:r>
        <w:separator/>
      </w:r>
    </w:p>
  </w:endnote>
  <w:endnote w:type="continuationSeparator" w:id="0">
    <w:p w:rsidR="00F94D4A" w:rsidRDefault="00F94D4A" w:rsidP="0085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D4A" w:rsidRDefault="00F94D4A" w:rsidP="008560E9">
      <w:pPr>
        <w:spacing w:after="0" w:line="240" w:lineRule="auto"/>
      </w:pPr>
      <w:r>
        <w:separator/>
      </w:r>
    </w:p>
  </w:footnote>
  <w:footnote w:type="continuationSeparator" w:id="0">
    <w:p w:rsidR="00F94D4A" w:rsidRDefault="00F94D4A" w:rsidP="0085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89401"/>
      <w:docPartObj>
        <w:docPartGallery w:val="Page Numbers (Top of Page)"/>
        <w:docPartUnique/>
      </w:docPartObj>
    </w:sdtPr>
    <w:sdtContent>
      <w:p w:rsidR="00F13BD9" w:rsidRDefault="00F13BD9">
        <w:pPr>
          <w:pStyle w:val="af3"/>
          <w:jc w:val="center"/>
        </w:pPr>
        <w:fldSimple w:instr=" PAGE   \* MERGEFORMAT ">
          <w:r w:rsidR="00494AE7">
            <w:rPr>
              <w:noProof/>
            </w:rPr>
            <w:t>2</w:t>
          </w:r>
        </w:fldSimple>
      </w:p>
    </w:sdtContent>
  </w:sdt>
  <w:p w:rsidR="00F13BD9" w:rsidRDefault="00F13BD9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700A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965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CFE17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2CC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67E5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DACE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0AF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B86E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900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09A25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40553"/>
    <w:multiLevelType w:val="hybridMultilevel"/>
    <w:tmpl w:val="8F74C8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4D3529"/>
    <w:multiLevelType w:val="multilevel"/>
    <w:tmpl w:val="6848FE12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793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cs="Times New Roman" w:hint="default"/>
        <w:b/>
      </w:rPr>
    </w:lvl>
  </w:abstractNum>
  <w:abstractNum w:abstractNumId="12">
    <w:nsid w:val="1EFE313F"/>
    <w:multiLevelType w:val="hybridMultilevel"/>
    <w:tmpl w:val="24C06240"/>
    <w:lvl w:ilvl="0" w:tplc="AA6A5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B11150"/>
    <w:multiLevelType w:val="multilevel"/>
    <w:tmpl w:val="6848FE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9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  <w:b/>
      </w:rPr>
    </w:lvl>
  </w:abstractNum>
  <w:abstractNum w:abstractNumId="14">
    <w:nsid w:val="20824D95"/>
    <w:multiLevelType w:val="multilevel"/>
    <w:tmpl w:val="42AC40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219D34CF"/>
    <w:multiLevelType w:val="hybridMultilevel"/>
    <w:tmpl w:val="D0BA0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CF5AC1"/>
    <w:multiLevelType w:val="multilevel"/>
    <w:tmpl w:val="1D4AE6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b/>
      </w:rPr>
    </w:lvl>
  </w:abstractNum>
  <w:abstractNum w:abstractNumId="17">
    <w:nsid w:val="2834171D"/>
    <w:multiLevelType w:val="hybridMultilevel"/>
    <w:tmpl w:val="3AA8AB88"/>
    <w:lvl w:ilvl="0" w:tplc="0EC4F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E5B198F"/>
    <w:multiLevelType w:val="hybridMultilevel"/>
    <w:tmpl w:val="95F2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617B89"/>
    <w:multiLevelType w:val="multilevel"/>
    <w:tmpl w:val="7E04FD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20">
    <w:nsid w:val="4A515CFD"/>
    <w:multiLevelType w:val="multilevel"/>
    <w:tmpl w:val="3B64F3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2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3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3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902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48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4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359" w:hanging="2160"/>
      </w:pPr>
      <w:rPr>
        <w:rFonts w:hint="default"/>
        <w:b/>
      </w:rPr>
    </w:lvl>
  </w:abstractNum>
  <w:abstractNum w:abstractNumId="21">
    <w:nsid w:val="507D1D1D"/>
    <w:multiLevelType w:val="hybridMultilevel"/>
    <w:tmpl w:val="E4BCA8A4"/>
    <w:lvl w:ilvl="0" w:tplc="12DC08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2FA0A01"/>
    <w:multiLevelType w:val="hybridMultilevel"/>
    <w:tmpl w:val="5F302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969D8"/>
    <w:multiLevelType w:val="hybridMultilevel"/>
    <w:tmpl w:val="0D12DF22"/>
    <w:lvl w:ilvl="0" w:tplc="FD183B1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63303C7"/>
    <w:multiLevelType w:val="hybridMultilevel"/>
    <w:tmpl w:val="44B436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F8A47B3"/>
    <w:multiLevelType w:val="hybridMultilevel"/>
    <w:tmpl w:val="E366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B7D0F"/>
    <w:multiLevelType w:val="hybridMultilevel"/>
    <w:tmpl w:val="8F88F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A64E54"/>
    <w:multiLevelType w:val="hybridMultilevel"/>
    <w:tmpl w:val="77264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6E2E7C"/>
    <w:multiLevelType w:val="hybridMultilevel"/>
    <w:tmpl w:val="0A4AFAA8"/>
    <w:lvl w:ilvl="0" w:tplc="19567F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B11B79"/>
    <w:multiLevelType w:val="multilevel"/>
    <w:tmpl w:val="3AA8AB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7"/>
  </w:num>
  <w:num w:numId="7">
    <w:abstractNumId w:val="22"/>
  </w:num>
  <w:num w:numId="8">
    <w:abstractNumId w:val="13"/>
  </w:num>
  <w:num w:numId="9">
    <w:abstractNumId w:val="20"/>
  </w:num>
  <w:num w:numId="10">
    <w:abstractNumId w:val="2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9"/>
  </w:num>
  <w:num w:numId="15">
    <w:abstractNumId w:val="21"/>
  </w:num>
  <w:num w:numId="16">
    <w:abstractNumId w:val="1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9"/>
  </w:num>
  <w:num w:numId="28">
    <w:abstractNumId w:val="11"/>
  </w:num>
  <w:num w:numId="29">
    <w:abstractNumId w:val="14"/>
  </w:num>
  <w:num w:numId="30">
    <w:abstractNumId w:val="15"/>
  </w:num>
  <w:num w:numId="31">
    <w:abstractNumId w:val="18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785D"/>
    <w:rsid w:val="00000DD7"/>
    <w:rsid w:val="00004111"/>
    <w:rsid w:val="00014520"/>
    <w:rsid w:val="000175EB"/>
    <w:rsid w:val="000209E9"/>
    <w:rsid w:val="000302A0"/>
    <w:rsid w:val="00031D56"/>
    <w:rsid w:val="00056BD4"/>
    <w:rsid w:val="00061BEC"/>
    <w:rsid w:val="000657B5"/>
    <w:rsid w:val="000659D0"/>
    <w:rsid w:val="0006739C"/>
    <w:rsid w:val="000765F9"/>
    <w:rsid w:val="00090E35"/>
    <w:rsid w:val="00091ED9"/>
    <w:rsid w:val="00092DFE"/>
    <w:rsid w:val="000A54C6"/>
    <w:rsid w:val="000B18CD"/>
    <w:rsid w:val="000B38F9"/>
    <w:rsid w:val="000D0371"/>
    <w:rsid w:val="000E1F40"/>
    <w:rsid w:val="000E3451"/>
    <w:rsid w:val="000E4EF0"/>
    <w:rsid w:val="000E6974"/>
    <w:rsid w:val="000E79AD"/>
    <w:rsid w:val="000F0477"/>
    <w:rsid w:val="000F0611"/>
    <w:rsid w:val="000F071E"/>
    <w:rsid w:val="000F15B5"/>
    <w:rsid w:val="00102D08"/>
    <w:rsid w:val="001033D0"/>
    <w:rsid w:val="0010433D"/>
    <w:rsid w:val="00111F41"/>
    <w:rsid w:val="00112924"/>
    <w:rsid w:val="00114645"/>
    <w:rsid w:val="00115995"/>
    <w:rsid w:val="0011628F"/>
    <w:rsid w:val="00134F5D"/>
    <w:rsid w:val="00135B9D"/>
    <w:rsid w:val="00140ED2"/>
    <w:rsid w:val="001425EC"/>
    <w:rsid w:val="00143DBB"/>
    <w:rsid w:val="0014564B"/>
    <w:rsid w:val="001457D4"/>
    <w:rsid w:val="00152113"/>
    <w:rsid w:val="00167D10"/>
    <w:rsid w:val="00176729"/>
    <w:rsid w:val="0018005D"/>
    <w:rsid w:val="0018276F"/>
    <w:rsid w:val="0019241E"/>
    <w:rsid w:val="001A1A88"/>
    <w:rsid w:val="001A4016"/>
    <w:rsid w:val="001A7D58"/>
    <w:rsid w:val="001B3465"/>
    <w:rsid w:val="001B4C80"/>
    <w:rsid w:val="001C128C"/>
    <w:rsid w:val="001C3183"/>
    <w:rsid w:val="001C3369"/>
    <w:rsid w:val="001D1FDA"/>
    <w:rsid w:val="001D3EC1"/>
    <w:rsid w:val="001D6298"/>
    <w:rsid w:val="001E31FD"/>
    <w:rsid w:val="001E4F95"/>
    <w:rsid w:val="001F0EC4"/>
    <w:rsid w:val="001F0F15"/>
    <w:rsid w:val="0020135F"/>
    <w:rsid w:val="002029B2"/>
    <w:rsid w:val="002064D3"/>
    <w:rsid w:val="0023152A"/>
    <w:rsid w:val="00231F57"/>
    <w:rsid w:val="00232EC5"/>
    <w:rsid w:val="0023500F"/>
    <w:rsid w:val="00235A37"/>
    <w:rsid w:val="002418E8"/>
    <w:rsid w:val="00241E32"/>
    <w:rsid w:val="00243788"/>
    <w:rsid w:val="00253CA4"/>
    <w:rsid w:val="00260A38"/>
    <w:rsid w:val="0026123A"/>
    <w:rsid w:val="0026279B"/>
    <w:rsid w:val="00267CB5"/>
    <w:rsid w:val="00270E6D"/>
    <w:rsid w:val="00270FB4"/>
    <w:rsid w:val="002715CA"/>
    <w:rsid w:val="002720B2"/>
    <w:rsid w:val="002754E7"/>
    <w:rsid w:val="00276AB6"/>
    <w:rsid w:val="00277256"/>
    <w:rsid w:val="00283949"/>
    <w:rsid w:val="002839E0"/>
    <w:rsid w:val="002875BF"/>
    <w:rsid w:val="002906EA"/>
    <w:rsid w:val="002A0C1B"/>
    <w:rsid w:val="002A2222"/>
    <w:rsid w:val="002A4818"/>
    <w:rsid w:val="002A6465"/>
    <w:rsid w:val="002B60A5"/>
    <w:rsid w:val="002B79E9"/>
    <w:rsid w:val="002C0141"/>
    <w:rsid w:val="002C26A1"/>
    <w:rsid w:val="002C434A"/>
    <w:rsid w:val="002D0865"/>
    <w:rsid w:val="002D2F2B"/>
    <w:rsid w:val="002E4C57"/>
    <w:rsid w:val="002E7ED2"/>
    <w:rsid w:val="002F345A"/>
    <w:rsid w:val="003012E3"/>
    <w:rsid w:val="00313F42"/>
    <w:rsid w:val="003235BD"/>
    <w:rsid w:val="0033015C"/>
    <w:rsid w:val="00342817"/>
    <w:rsid w:val="00343513"/>
    <w:rsid w:val="0034520B"/>
    <w:rsid w:val="00347131"/>
    <w:rsid w:val="003508C2"/>
    <w:rsid w:val="00352D1E"/>
    <w:rsid w:val="00363C41"/>
    <w:rsid w:val="00364E24"/>
    <w:rsid w:val="00365D0B"/>
    <w:rsid w:val="00370AB4"/>
    <w:rsid w:val="00371CDC"/>
    <w:rsid w:val="00371ECC"/>
    <w:rsid w:val="00371F27"/>
    <w:rsid w:val="0037434D"/>
    <w:rsid w:val="00375C54"/>
    <w:rsid w:val="00385B13"/>
    <w:rsid w:val="00386D90"/>
    <w:rsid w:val="00393DBC"/>
    <w:rsid w:val="003A15FA"/>
    <w:rsid w:val="003A6A0D"/>
    <w:rsid w:val="003B2B99"/>
    <w:rsid w:val="003B522E"/>
    <w:rsid w:val="003B6C11"/>
    <w:rsid w:val="003C2B01"/>
    <w:rsid w:val="003C346D"/>
    <w:rsid w:val="003D4D64"/>
    <w:rsid w:val="003D7918"/>
    <w:rsid w:val="003E2339"/>
    <w:rsid w:val="003E3D2C"/>
    <w:rsid w:val="003E3ED1"/>
    <w:rsid w:val="003E7A95"/>
    <w:rsid w:val="003F3AB4"/>
    <w:rsid w:val="00404047"/>
    <w:rsid w:val="00406F56"/>
    <w:rsid w:val="004117FD"/>
    <w:rsid w:val="00416EB9"/>
    <w:rsid w:val="004219F2"/>
    <w:rsid w:val="00423BE7"/>
    <w:rsid w:val="00433B33"/>
    <w:rsid w:val="00445E17"/>
    <w:rsid w:val="004613E2"/>
    <w:rsid w:val="004639F7"/>
    <w:rsid w:val="004711D0"/>
    <w:rsid w:val="0047518D"/>
    <w:rsid w:val="00476AF8"/>
    <w:rsid w:val="004826D1"/>
    <w:rsid w:val="00482EDD"/>
    <w:rsid w:val="00484692"/>
    <w:rsid w:val="00494A01"/>
    <w:rsid w:val="00494AE7"/>
    <w:rsid w:val="004951FA"/>
    <w:rsid w:val="004978CE"/>
    <w:rsid w:val="004A3E75"/>
    <w:rsid w:val="004C341C"/>
    <w:rsid w:val="004C4C24"/>
    <w:rsid w:val="004D4859"/>
    <w:rsid w:val="004E0933"/>
    <w:rsid w:val="004F0A07"/>
    <w:rsid w:val="004F2537"/>
    <w:rsid w:val="004F2FF2"/>
    <w:rsid w:val="004F6F57"/>
    <w:rsid w:val="00503589"/>
    <w:rsid w:val="005059DD"/>
    <w:rsid w:val="00505C1A"/>
    <w:rsid w:val="0050693B"/>
    <w:rsid w:val="005073DA"/>
    <w:rsid w:val="00507CAB"/>
    <w:rsid w:val="00510587"/>
    <w:rsid w:val="005158CB"/>
    <w:rsid w:val="005325A5"/>
    <w:rsid w:val="00533B61"/>
    <w:rsid w:val="00543BD4"/>
    <w:rsid w:val="00551CDB"/>
    <w:rsid w:val="00553B27"/>
    <w:rsid w:val="00553D72"/>
    <w:rsid w:val="00554A7E"/>
    <w:rsid w:val="00560476"/>
    <w:rsid w:val="0056433F"/>
    <w:rsid w:val="00565E00"/>
    <w:rsid w:val="00570681"/>
    <w:rsid w:val="00571AA3"/>
    <w:rsid w:val="00571AEA"/>
    <w:rsid w:val="005836BE"/>
    <w:rsid w:val="00587104"/>
    <w:rsid w:val="00591A0C"/>
    <w:rsid w:val="005931BD"/>
    <w:rsid w:val="00594037"/>
    <w:rsid w:val="005A1A6C"/>
    <w:rsid w:val="005A7A8D"/>
    <w:rsid w:val="005B5B19"/>
    <w:rsid w:val="005C10C7"/>
    <w:rsid w:val="005C3179"/>
    <w:rsid w:val="005E5C01"/>
    <w:rsid w:val="005E73D7"/>
    <w:rsid w:val="005F77B9"/>
    <w:rsid w:val="00607553"/>
    <w:rsid w:val="0061394D"/>
    <w:rsid w:val="00617454"/>
    <w:rsid w:val="006179C8"/>
    <w:rsid w:val="00620B52"/>
    <w:rsid w:val="00620F72"/>
    <w:rsid w:val="0062337D"/>
    <w:rsid w:val="00625F5A"/>
    <w:rsid w:val="006327C1"/>
    <w:rsid w:val="006402D7"/>
    <w:rsid w:val="006403FF"/>
    <w:rsid w:val="0064252A"/>
    <w:rsid w:val="00642E2F"/>
    <w:rsid w:val="0064315F"/>
    <w:rsid w:val="00653D29"/>
    <w:rsid w:val="00661F5F"/>
    <w:rsid w:val="00670EBC"/>
    <w:rsid w:val="00671303"/>
    <w:rsid w:val="00677675"/>
    <w:rsid w:val="00687235"/>
    <w:rsid w:val="006921DE"/>
    <w:rsid w:val="006A3611"/>
    <w:rsid w:val="006B1CD9"/>
    <w:rsid w:val="006B2273"/>
    <w:rsid w:val="006B3F8C"/>
    <w:rsid w:val="006B4C7E"/>
    <w:rsid w:val="006B4D60"/>
    <w:rsid w:val="006C1F83"/>
    <w:rsid w:val="006C2849"/>
    <w:rsid w:val="006C62E2"/>
    <w:rsid w:val="006D0B25"/>
    <w:rsid w:val="006D0D63"/>
    <w:rsid w:val="006D3144"/>
    <w:rsid w:val="006D5C00"/>
    <w:rsid w:val="006D6268"/>
    <w:rsid w:val="006E0D1E"/>
    <w:rsid w:val="006E24DA"/>
    <w:rsid w:val="006E3396"/>
    <w:rsid w:val="006F189E"/>
    <w:rsid w:val="006F4158"/>
    <w:rsid w:val="006F6C31"/>
    <w:rsid w:val="00706E8C"/>
    <w:rsid w:val="007171C9"/>
    <w:rsid w:val="007176D8"/>
    <w:rsid w:val="00717D88"/>
    <w:rsid w:val="007209AB"/>
    <w:rsid w:val="007241DE"/>
    <w:rsid w:val="00726C7C"/>
    <w:rsid w:val="00727503"/>
    <w:rsid w:val="00727849"/>
    <w:rsid w:val="00734027"/>
    <w:rsid w:val="00742A99"/>
    <w:rsid w:val="007432B8"/>
    <w:rsid w:val="0076160F"/>
    <w:rsid w:val="007711FB"/>
    <w:rsid w:val="00774E55"/>
    <w:rsid w:val="00777CAB"/>
    <w:rsid w:val="007805C7"/>
    <w:rsid w:val="00785852"/>
    <w:rsid w:val="0079706A"/>
    <w:rsid w:val="007A0C95"/>
    <w:rsid w:val="007A45BE"/>
    <w:rsid w:val="007B74BE"/>
    <w:rsid w:val="007D753C"/>
    <w:rsid w:val="007E266C"/>
    <w:rsid w:val="007E2D55"/>
    <w:rsid w:val="007E7F19"/>
    <w:rsid w:val="007F569C"/>
    <w:rsid w:val="007F59EB"/>
    <w:rsid w:val="007F76A3"/>
    <w:rsid w:val="0081411D"/>
    <w:rsid w:val="008217CA"/>
    <w:rsid w:val="008237F6"/>
    <w:rsid w:val="0082761F"/>
    <w:rsid w:val="00832146"/>
    <w:rsid w:val="00851282"/>
    <w:rsid w:val="008560E9"/>
    <w:rsid w:val="00860944"/>
    <w:rsid w:val="00881ACA"/>
    <w:rsid w:val="00884FCD"/>
    <w:rsid w:val="008872D2"/>
    <w:rsid w:val="00891B8A"/>
    <w:rsid w:val="00893F8B"/>
    <w:rsid w:val="00895FD7"/>
    <w:rsid w:val="008A411E"/>
    <w:rsid w:val="008A5683"/>
    <w:rsid w:val="008B6251"/>
    <w:rsid w:val="008B794F"/>
    <w:rsid w:val="008B79F5"/>
    <w:rsid w:val="008C05DA"/>
    <w:rsid w:val="008C51DC"/>
    <w:rsid w:val="008E3538"/>
    <w:rsid w:val="008E710E"/>
    <w:rsid w:val="008F5BEE"/>
    <w:rsid w:val="008F66AE"/>
    <w:rsid w:val="008F7644"/>
    <w:rsid w:val="00901ABF"/>
    <w:rsid w:val="009055E4"/>
    <w:rsid w:val="0094096A"/>
    <w:rsid w:val="00940DB3"/>
    <w:rsid w:val="009414EF"/>
    <w:rsid w:val="00943302"/>
    <w:rsid w:val="00947FAD"/>
    <w:rsid w:val="00953F22"/>
    <w:rsid w:val="00956C71"/>
    <w:rsid w:val="00960469"/>
    <w:rsid w:val="00962C34"/>
    <w:rsid w:val="00965799"/>
    <w:rsid w:val="00970C00"/>
    <w:rsid w:val="00975D33"/>
    <w:rsid w:val="00980F98"/>
    <w:rsid w:val="009830F0"/>
    <w:rsid w:val="00984E07"/>
    <w:rsid w:val="009914FB"/>
    <w:rsid w:val="00991CDC"/>
    <w:rsid w:val="00991F19"/>
    <w:rsid w:val="00995645"/>
    <w:rsid w:val="009962C0"/>
    <w:rsid w:val="009A0D3D"/>
    <w:rsid w:val="009A1301"/>
    <w:rsid w:val="009A36BD"/>
    <w:rsid w:val="009A56FE"/>
    <w:rsid w:val="009B1E67"/>
    <w:rsid w:val="009B4A01"/>
    <w:rsid w:val="009B5ACE"/>
    <w:rsid w:val="009C20F1"/>
    <w:rsid w:val="009C582C"/>
    <w:rsid w:val="009C6D3E"/>
    <w:rsid w:val="009C771F"/>
    <w:rsid w:val="009D27E4"/>
    <w:rsid w:val="009D346A"/>
    <w:rsid w:val="009D65AE"/>
    <w:rsid w:val="009D7114"/>
    <w:rsid w:val="009D7F2B"/>
    <w:rsid w:val="009F102E"/>
    <w:rsid w:val="009F7BE7"/>
    <w:rsid w:val="00A1044E"/>
    <w:rsid w:val="00A274F4"/>
    <w:rsid w:val="00A30AD4"/>
    <w:rsid w:val="00A313B1"/>
    <w:rsid w:val="00A31913"/>
    <w:rsid w:val="00A3209A"/>
    <w:rsid w:val="00A3258C"/>
    <w:rsid w:val="00A3355C"/>
    <w:rsid w:val="00A35AAD"/>
    <w:rsid w:val="00A3785D"/>
    <w:rsid w:val="00A51D1F"/>
    <w:rsid w:val="00A521BC"/>
    <w:rsid w:val="00A527D3"/>
    <w:rsid w:val="00A529D7"/>
    <w:rsid w:val="00A55190"/>
    <w:rsid w:val="00A60C45"/>
    <w:rsid w:val="00A6328F"/>
    <w:rsid w:val="00A6447F"/>
    <w:rsid w:val="00A7459D"/>
    <w:rsid w:val="00A74733"/>
    <w:rsid w:val="00A8026B"/>
    <w:rsid w:val="00A84204"/>
    <w:rsid w:val="00A85C5E"/>
    <w:rsid w:val="00A870E6"/>
    <w:rsid w:val="00A9302C"/>
    <w:rsid w:val="00A9400B"/>
    <w:rsid w:val="00A960C4"/>
    <w:rsid w:val="00AA2668"/>
    <w:rsid w:val="00AB0C9C"/>
    <w:rsid w:val="00AB1008"/>
    <w:rsid w:val="00AB1553"/>
    <w:rsid w:val="00AB329A"/>
    <w:rsid w:val="00AB7DBD"/>
    <w:rsid w:val="00AC15E7"/>
    <w:rsid w:val="00AC2EED"/>
    <w:rsid w:val="00AC314C"/>
    <w:rsid w:val="00AD378F"/>
    <w:rsid w:val="00AD64DC"/>
    <w:rsid w:val="00AD6BDB"/>
    <w:rsid w:val="00AE2C5E"/>
    <w:rsid w:val="00AF088D"/>
    <w:rsid w:val="00AF2050"/>
    <w:rsid w:val="00AF34C2"/>
    <w:rsid w:val="00B00A8E"/>
    <w:rsid w:val="00B04197"/>
    <w:rsid w:val="00B05919"/>
    <w:rsid w:val="00B13592"/>
    <w:rsid w:val="00B14539"/>
    <w:rsid w:val="00B26647"/>
    <w:rsid w:val="00B277B7"/>
    <w:rsid w:val="00B31489"/>
    <w:rsid w:val="00B32D0A"/>
    <w:rsid w:val="00B3348E"/>
    <w:rsid w:val="00B335B5"/>
    <w:rsid w:val="00B33CED"/>
    <w:rsid w:val="00B35BF5"/>
    <w:rsid w:val="00B40B46"/>
    <w:rsid w:val="00B57DEB"/>
    <w:rsid w:val="00B67E00"/>
    <w:rsid w:val="00B70B71"/>
    <w:rsid w:val="00B91ACB"/>
    <w:rsid w:val="00BA3733"/>
    <w:rsid w:val="00BB6A41"/>
    <w:rsid w:val="00BC1410"/>
    <w:rsid w:val="00BC6A40"/>
    <w:rsid w:val="00BC6ADC"/>
    <w:rsid w:val="00BD5765"/>
    <w:rsid w:val="00BE08A4"/>
    <w:rsid w:val="00BE4391"/>
    <w:rsid w:val="00BE7287"/>
    <w:rsid w:val="00BE7F13"/>
    <w:rsid w:val="00BF77A6"/>
    <w:rsid w:val="00C009E4"/>
    <w:rsid w:val="00C077EA"/>
    <w:rsid w:val="00C132D6"/>
    <w:rsid w:val="00C135F2"/>
    <w:rsid w:val="00C143E4"/>
    <w:rsid w:val="00C41A55"/>
    <w:rsid w:val="00C432AF"/>
    <w:rsid w:val="00C44D43"/>
    <w:rsid w:val="00C471B2"/>
    <w:rsid w:val="00C50B92"/>
    <w:rsid w:val="00C50C8E"/>
    <w:rsid w:val="00C541AC"/>
    <w:rsid w:val="00C56F63"/>
    <w:rsid w:val="00C714F9"/>
    <w:rsid w:val="00C73757"/>
    <w:rsid w:val="00C73B2D"/>
    <w:rsid w:val="00C75081"/>
    <w:rsid w:val="00C77565"/>
    <w:rsid w:val="00C77DB1"/>
    <w:rsid w:val="00C902ED"/>
    <w:rsid w:val="00CA72B0"/>
    <w:rsid w:val="00CB4F26"/>
    <w:rsid w:val="00CC0181"/>
    <w:rsid w:val="00CC12D7"/>
    <w:rsid w:val="00CC17A0"/>
    <w:rsid w:val="00CC1ABC"/>
    <w:rsid w:val="00CC2205"/>
    <w:rsid w:val="00CD2FC2"/>
    <w:rsid w:val="00CD4FFE"/>
    <w:rsid w:val="00CE689D"/>
    <w:rsid w:val="00CE77A8"/>
    <w:rsid w:val="00CF0C30"/>
    <w:rsid w:val="00CF242D"/>
    <w:rsid w:val="00CF7F85"/>
    <w:rsid w:val="00D00FD3"/>
    <w:rsid w:val="00D05C5C"/>
    <w:rsid w:val="00D05CFE"/>
    <w:rsid w:val="00D062DC"/>
    <w:rsid w:val="00D06383"/>
    <w:rsid w:val="00D15476"/>
    <w:rsid w:val="00D1603C"/>
    <w:rsid w:val="00D2348C"/>
    <w:rsid w:val="00D2794D"/>
    <w:rsid w:val="00D37DDF"/>
    <w:rsid w:val="00D42A4E"/>
    <w:rsid w:val="00D44465"/>
    <w:rsid w:val="00D44C75"/>
    <w:rsid w:val="00D45E3A"/>
    <w:rsid w:val="00D532B7"/>
    <w:rsid w:val="00D546D6"/>
    <w:rsid w:val="00D572EC"/>
    <w:rsid w:val="00D66B21"/>
    <w:rsid w:val="00D670D4"/>
    <w:rsid w:val="00D73D54"/>
    <w:rsid w:val="00D87673"/>
    <w:rsid w:val="00D87923"/>
    <w:rsid w:val="00DA6FCA"/>
    <w:rsid w:val="00DC606F"/>
    <w:rsid w:val="00DF2C71"/>
    <w:rsid w:val="00DF75B6"/>
    <w:rsid w:val="00E01DA8"/>
    <w:rsid w:val="00E10BAD"/>
    <w:rsid w:val="00E113A2"/>
    <w:rsid w:val="00E1229D"/>
    <w:rsid w:val="00E17D45"/>
    <w:rsid w:val="00E305FC"/>
    <w:rsid w:val="00E363B1"/>
    <w:rsid w:val="00E43663"/>
    <w:rsid w:val="00E51158"/>
    <w:rsid w:val="00E549B9"/>
    <w:rsid w:val="00E55627"/>
    <w:rsid w:val="00E605AA"/>
    <w:rsid w:val="00E6732B"/>
    <w:rsid w:val="00E8249F"/>
    <w:rsid w:val="00E84E0A"/>
    <w:rsid w:val="00E95342"/>
    <w:rsid w:val="00E964EA"/>
    <w:rsid w:val="00EB4896"/>
    <w:rsid w:val="00EC2B9E"/>
    <w:rsid w:val="00EC340D"/>
    <w:rsid w:val="00EC34AA"/>
    <w:rsid w:val="00ED60A7"/>
    <w:rsid w:val="00EE0252"/>
    <w:rsid w:val="00EE0E03"/>
    <w:rsid w:val="00EE14C1"/>
    <w:rsid w:val="00EE26DE"/>
    <w:rsid w:val="00EE5788"/>
    <w:rsid w:val="00EF032C"/>
    <w:rsid w:val="00EF1038"/>
    <w:rsid w:val="00EF561B"/>
    <w:rsid w:val="00EF5E8F"/>
    <w:rsid w:val="00EF7794"/>
    <w:rsid w:val="00F00CD5"/>
    <w:rsid w:val="00F0101B"/>
    <w:rsid w:val="00F014F5"/>
    <w:rsid w:val="00F13BD9"/>
    <w:rsid w:val="00F21266"/>
    <w:rsid w:val="00F2740C"/>
    <w:rsid w:val="00F36890"/>
    <w:rsid w:val="00F40BA4"/>
    <w:rsid w:val="00F46375"/>
    <w:rsid w:val="00F536B7"/>
    <w:rsid w:val="00F53FBE"/>
    <w:rsid w:val="00F54106"/>
    <w:rsid w:val="00F62C72"/>
    <w:rsid w:val="00F75896"/>
    <w:rsid w:val="00F85BF7"/>
    <w:rsid w:val="00F94D4A"/>
    <w:rsid w:val="00FB4E55"/>
    <w:rsid w:val="00FB7DD7"/>
    <w:rsid w:val="00FC39DC"/>
    <w:rsid w:val="00FC3A5F"/>
    <w:rsid w:val="00FC566A"/>
    <w:rsid w:val="00FC64FA"/>
    <w:rsid w:val="00FD022E"/>
    <w:rsid w:val="00FD0C06"/>
    <w:rsid w:val="00FE07FB"/>
    <w:rsid w:val="00FE480B"/>
    <w:rsid w:val="00FF0F0C"/>
    <w:rsid w:val="00FF38AE"/>
    <w:rsid w:val="00FF6686"/>
    <w:rsid w:val="00FF6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5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6179C8"/>
    <w:pPr>
      <w:keepNext/>
      <w:tabs>
        <w:tab w:val="left" w:pos="6600"/>
      </w:tabs>
      <w:snapToGrid w:val="0"/>
      <w:spacing w:before="222" w:after="0" w:line="240" w:lineRule="auto"/>
      <w:ind w:right="88"/>
      <w:jc w:val="center"/>
      <w:outlineLvl w:val="0"/>
    </w:pPr>
    <w:rPr>
      <w:rFonts w:ascii="Times New Roman" w:hAnsi="Times New Rom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locked/>
    <w:rsid w:val="00F2740C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F2740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51158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E51158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E5115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51158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E51158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E51158"/>
    <w:rPr>
      <w:rFonts w:ascii="Times New Roman" w:hAnsi="Times New Roman" w:cs="Times New Roman"/>
      <w:sz w:val="24"/>
      <w:szCs w:val="24"/>
    </w:rPr>
  </w:style>
  <w:style w:type="character" w:styleId="a7">
    <w:name w:val="Strong"/>
    <w:basedOn w:val="a0"/>
    <w:uiPriority w:val="99"/>
    <w:qFormat/>
    <w:rsid w:val="00E51158"/>
    <w:rPr>
      <w:b/>
      <w:bCs/>
    </w:rPr>
  </w:style>
  <w:style w:type="paragraph" w:styleId="a8">
    <w:name w:val="Title"/>
    <w:aliases w:val="Знак Знак"/>
    <w:basedOn w:val="a"/>
    <w:link w:val="a9"/>
    <w:uiPriority w:val="99"/>
    <w:qFormat/>
    <w:rsid w:val="00E51158"/>
    <w:pPr>
      <w:autoSpaceDE w:val="0"/>
      <w:autoSpaceDN w:val="0"/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a9">
    <w:name w:val="Название Знак"/>
    <w:aliases w:val="Знак Знак Знак"/>
    <w:basedOn w:val="a0"/>
    <w:link w:val="a8"/>
    <w:uiPriority w:val="99"/>
    <w:locked/>
    <w:rsid w:val="00E51158"/>
    <w:rPr>
      <w:rFonts w:ascii="Times New Roman" w:hAnsi="Times New Roman" w:cs="Times New Roman"/>
      <w:b/>
      <w:bCs/>
      <w:sz w:val="28"/>
      <w:szCs w:val="28"/>
    </w:rPr>
  </w:style>
  <w:style w:type="paragraph" w:customStyle="1" w:styleId="aa">
    <w:name w:val="Знак Знак Знак Знак"/>
    <w:basedOn w:val="a"/>
    <w:uiPriority w:val="99"/>
    <w:rsid w:val="00E5115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rsid w:val="00E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E51158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uiPriority w:val="99"/>
    <w:qFormat/>
    <w:rsid w:val="00E51158"/>
    <w:pPr>
      <w:spacing w:after="0" w:line="240" w:lineRule="auto"/>
      <w:jc w:val="center"/>
    </w:pPr>
    <w:rPr>
      <w:rFonts w:cs="Times New Roman"/>
      <w:sz w:val="28"/>
      <w:szCs w:val="28"/>
    </w:rPr>
  </w:style>
  <w:style w:type="paragraph" w:customStyle="1" w:styleId="Style2">
    <w:name w:val="Style2"/>
    <w:basedOn w:val="a"/>
    <w:uiPriority w:val="99"/>
    <w:rsid w:val="00E51158"/>
    <w:pPr>
      <w:widowControl w:val="0"/>
      <w:suppressAutoHyphens/>
      <w:autoSpaceDE w:val="0"/>
      <w:spacing w:after="0" w:line="230" w:lineRule="exact"/>
      <w:ind w:firstLine="283"/>
    </w:pPr>
    <w:rPr>
      <w:rFonts w:cs="Times New Roman"/>
      <w:color w:val="000000"/>
      <w:sz w:val="24"/>
      <w:szCs w:val="24"/>
      <w:lang w:val="en-US" w:eastAsia="en-US"/>
    </w:rPr>
  </w:style>
  <w:style w:type="character" w:customStyle="1" w:styleId="ae">
    <w:name w:val="Без интервала Знак"/>
    <w:basedOn w:val="a0"/>
    <w:link w:val="af"/>
    <w:uiPriority w:val="99"/>
    <w:locked/>
    <w:rsid w:val="00E51158"/>
    <w:rPr>
      <w:rFonts w:eastAsia="Times New Roman"/>
      <w:sz w:val="22"/>
      <w:szCs w:val="22"/>
      <w:lang w:val="ru-RU" w:eastAsia="ru-RU"/>
    </w:rPr>
  </w:style>
  <w:style w:type="paragraph" w:styleId="af">
    <w:name w:val="No Spacing"/>
    <w:link w:val="ae"/>
    <w:uiPriority w:val="99"/>
    <w:qFormat/>
    <w:rsid w:val="00E51158"/>
    <w:rPr>
      <w:rFonts w:cs="Calibri"/>
    </w:rPr>
  </w:style>
  <w:style w:type="paragraph" w:styleId="af0">
    <w:name w:val="List Paragraph"/>
    <w:basedOn w:val="a"/>
    <w:link w:val="af1"/>
    <w:uiPriority w:val="99"/>
    <w:qFormat/>
    <w:rsid w:val="00E51158"/>
    <w:pPr>
      <w:ind w:left="720"/>
    </w:pPr>
  </w:style>
  <w:style w:type="character" w:customStyle="1" w:styleId="s02">
    <w:name w:val="s02"/>
    <w:basedOn w:val="a0"/>
    <w:uiPriority w:val="99"/>
    <w:rsid w:val="00E51158"/>
    <w:rPr>
      <w:rFonts w:ascii="Arial" w:hAnsi="Arial" w:cs="Arial"/>
    </w:rPr>
  </w:style>
  <w:style w:type="character" w:styleId="af2">
    <w:name w:val="Emphasis"/>
    <w:basedOn w:val="a0"/>
    <w:uiPriority w:val="99"/>
    <w:qFormat/>
    <w:rsid w:val="00E51158"/>
    <w:rPr>
      <w:i/>
      <w:iCs/>
    </w:rPr>
  </w:style>
  <w:style w:type="paragraph" w:customStyle="1" w:styleId="11">
    <w:name w:val="Цитата1"/>
    <w:basedOn w:val="a"/>
    <w:uiPriority w:val="99"/>
    <w:rsid w:val="00E51158"/>
    <w:pPr>
      <w:suppressAutoHyphens/>
      <w:spacing w:after="0" w:line="240" w:lineRule="auto"/>
      <w:ind w:left="-720" w:right="-981"/>
    </w:pPr>
    <w:rPr>
      <w:rFonts w:cs="Times New Roman"/>
      <w:sz w:val="28"/>
      <w:szCs w:val="28"/>
      <w:lang w:eastAsia="ar-SA"/>
    </w:rPr>
  </w:style>
  <w:style w:type="character" w:customStyle="1" w:styleId="apple-converted-space">
    <w:name w:val="apple-converted-space"/>
    <w:basedOn w:val="a0"/>
    <w:uiPriority w:val="99"/>
    <w:rsid w:val="00E51158"/>
  </w:style>
  <w:style w:type="paragraph" w:styleId="af3">
    <w:name w:val="header"/>
    <w:basedOn w:val="a"/>
    <w:link w:val="af4"/>
    <w:uiPriority w:val="99"/>
    <w:rsid w:val="0085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8560E9"/>
  </w:style>
  <w:style w:type="paragraph" w:styleId="af5">
    <w:name w:val="footer"/>
    <w:basedOn w:val="a"/>
    <w:link w:val="af6"/>
    <w:uiPriority w:val="99"/>
    <w:rsid w:val="0085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8560E9"/>
  </w:style>
  <w:style w:type="paragraph" w:styleId="af7">
    <w:name w:val="Normal (Web)"/>
    <w:aliases w:val="Обычный (веб)1,Обычный (веб) Знак,Обычный (веб) Знак1,Обычный (веб) Знак Знак"/>
    <w:basedOn w:val="a"/>
    <w:uiPriority w:val="99"/>
    <w:unhideWhenUsed/>
    <w:rsid w:val="00CD2F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D2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C902E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6179C8"/>
    <w:rPr>
      <w:rFonts w:ascii="Times New Roman" w:hAnsi="Times New Roman"/>
      <w:sz w:val="28"/>
      <w:szCs w:val="20"/>
      <w:lang w:val="en-US"/>
    </w:rPr>
  </w:style>
  <w:style w:type="paragraph" w:styleId="23">
    <w:name w:val="Body Text Indent 2"/>
    <w:basedOn w:val="a"/>
    <w:link w:val="24"/>
    <w:uiPriority w:val="99"/>
    <w:unhideWhenUsed/>
    <w:rsid w:val="006179C8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79C8"/>
    <w:rPr>
      <w:rFonts w:ascii="Times New Roman" w:hAnsi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D00FD3"/>
    <w:rPr>
      <w:color w:val="0000FF"/>
      <w:u w:val="single"/>
    </w:rPr>
  </w:style>
  <w:style w:type="paragraph" w:customStyle="1" w:styleId="ConsPlusTitle">
    <w:name w:val="ConsPlusTitle"/>
    <w:uiPriority w:val="99"/>
    <w:rsid w:val="00AF2050"/>
    <w:pPr>
      <w:widowControl w:val="0"/>
      <w:autoSpaceDE w:val="0"/>
      <w:autoSpaceDN w:val="0"/>
    </w:pPr>
    <w:rPr>
      <w:rFonts w:cs="Calibri"/>
      <w:b/>
      <w:szCs w:val="20"/>
    </w:rPr>
  </w:style>
  <w:style w:type="character" w:styleId="af9">
    <w:name w:val="page number"/>
    <w:basedOn w:val="a0"/>
    <w:rsid w:val="002E7ED2"/>
  </w:style>
  <w:style w:type="character" w:customStyle="1" w:styleId="FontStyle13">
    <w:name w:val="Font Style13"/>
    <w:basedOn w:val="a0"/>
    <w:uiPriority w:val="99"/>
    <w:rsid w:val="002E7ED2"/>
    <w:rPr>
      <w:rFonts w:ascii="Times New Roman" w:hAnsi="Times New Roman" w:cs="Times New Roman" w:hint="default"/>
      <w:sz w:val="26"/>
      <w:szCs w:val="26"/>
    </w:rPr>
  </w:style>
  <w:style w:type="paragraph" w:customStyle="1" w:styleId="12">
    <w:name w:val="Абзац списка1"/>
    <w:basedOn w:val="a"/>
    <w:rsid w:val="002E7ED2"/>
    <w:pPr>
      <w:ind w:left="720"/>
    </w:pPr>
    <w:rPr>
      <w:rFonts w:cs="Times New Roman"/>
      <w:lang w:eastAsia="en-US"/>
    </w:rPr>
  </w:style>
  <w:style w:type="character" w:customStyle="1" w:styleId="25">
    <w:name w:val="Основной текст (2)_"/>
    <w:basedOn w:val="a0"/>
    <w:link w:val="26"/>
    <w:rsid w:val="000657B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657B5"/>
    <w:pPr>
      <w:widowControl w:val="0"/>
      <w:shd w:val="clear" w:color="auto" w:fill="FFFFFF"/>
      <w:spacing w:before="60" w:after="360" w:line="0" w:lineRule="atLeas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b-stl-normal">
    <w:name w:val="wb-stl-normal"/>
    <w:basedOn w:val="a"/>
    <w:rsid w:val="000657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3E3D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4219F2"/>
    <w:pPr>
      <w:widowControl w:val="0"/>
      <w:autoSpaceDE w:val="0"/>
      <w:autoSpaceDN w:val="0"/>
      <w:adjustRightInd w:val="0"/>
    </w:pPr>
    <w:rPr>
      <w:rFonts w:ascii="Times New Roman" w:eastAsia="Calibri" w:hAnsi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F2740C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2740C"/>
    <w:rPr>
      <w:rFonts w:ascii="Cambria" w:hAnsi="Cambria"/>
      <w:b/>
      <w:bCs/>
      <w:sz w:val="26"/>
      <w:szCs w:val="26"/>
    </w:rPr>
  </w:style>
  <w:style w:type="numbering" w:customStyle="1" w:styleId="14">
    <w:name w:val="Нет списка1"/>
    <w:next w:val="a2"/>
    <w:uiPriority w:val="99"/>
    <w:semiHidden/>
    <w:unhideWhenUsed/>
    <w:rsid w:val="00F2740C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F274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Без интервала2"/>
    <w:link w:val="NoSpacingChar1"/>
    <w:uiPriority w:val="99"/>
    <w:rsid w:val="00F2740C"/>
    <w:rPr>
      <w:lang w:eastAsia="en-US"/>
    </w:rPr>
  </w:style>
  <w:style w:type="character" w:customStyle="1" w:styleId="NoSpacingChar1">
    <w:name w:val="No Spacing Char1"/>
    <w:link w:val="27"/>
    <w:uiPriority w:val="99"/>
    <w:locked/>
    <w:rsid w:val="00F2740C"/>
    <w:rPr>
      <w:lang w:eastAsia="en-US"/>
    </w:rPr>
  </w:style>
  <w:style w:type="character" w:customStyle="1" w:styleId="af1">
    <w:name w:val="Абзац списка Знак"/>
    <w:link w:val="af0"/>
    <w:uiPriority w:val="99"/>
    <w:locked/>
    <w:rsid w:val="00F2740C"/>
    <w:rPr>
      <w:rFonts w:cs="Calibri"/>
    </w:rPr>
  </w:style>
  <w:style w:type="character" w:customStyle="1" w:styleId="FontStyle19">
    <w:name w:val="Font Style19"/>
    <w:uiPriority w:val="99"/>
    <w:rsid w:val="00F2740C"/>
    <w:rPr>
      <w:rFonts w:ascii="Times New Roman" w:hAnsi="Times New Roman"/>
      <w:sz w:val="26"/>
    </w:rPr>
  </w:style>
  <w:style w:type="character" w:customStyle="1" w:styleId="28pt1">
    <w:name w:val="Основной текст (2) + 8 pt1"/>
    <w:aliases w:val="Полужирный1"/>
    <w:uiPriority w:val="99"/>
    <w:rsid w:val="00F2740C"/>
    <w:rPr>
      <w:rFonts w:ascii="Times New Roman" w:hAnsi="Times New Roman"/>
      <w:b/>
      <w:sz w:val="16"/>
      <w:u w:val="none"/>
    </w:rPr>
  </w:style>
  <w:style w:type="paragraph" w:customStyle="1" w:styleId="western">
    <w:name w:val="western"/>
    <w:basedOn w:val="a"/>
    <w:uiPriority w:val="99"/>
    <w:rsid w:val="00F274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uiPriority w:val="99"/>
    <w:locked/>
    <w:rsid w:val="00F2740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740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a"/>
    <w:uiPriority w:val="99"/>
    <w:rsid w:val="00F2740C"/>
    <w:pPr>
      <w:ind w:left="720"/>
    </w:pPr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4461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585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69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4246">
          <w:blockQuote w:val="1"/>
          <w:marLeft w:val="0"/>
          <w:marRight w:val="0"/>
          <w:marTop w:val="0"/>
          <w:marBottom w:val="230"/>
          <w:divBdr>
            <w:top w:val="none" w:sz="0" w:space="0" w:color="auto"/>
            <w:left w:val="single" w:sz="24" w:space="12" w:color="EEEEEE"/>
            <w:bottom w:val="none" w:sz="0" w:space="0" w:color="auto"/>
            <w:right w:val="none" w:sz="0" w:space="0" w:color="auto"/>
          </w:divBdr>
        </w:div>
      </w:divsChild>
    </w:div>
    <w:div w:id="20546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oliletsk.ru/po-voprosam-razvitiya-agropromyishlennogo-kompleks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liletsk.ru/po-snizheniyu-smertnosti-i-uvelicheniyu-prodolzhitelnosti-zhizni-naseleniy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ujet.ru/action/lm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liletsk.ru/po-koordinaczii-v-sfere-dostupnoj-sredyi-zhiznedeyatelnosti-dlya-invalidov-i-drugix-malomobilnyix-grupp-naseleniya.html" TargetMode="External"/><Relationship Id="rId10" Type="http://schemas.openxmlformats.org/officeDocument/2006/relationships/hyperlink" Target="http://raifosol.ucoz.ru/pismo_minfina_o_rezultatakh_monitoringa_fin.menedz.pdf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93978/" TargetMode="External"/><Relationship Id="rId14" Type="http://schemas.openxmlformats.org/officeDocument/2006/relationships/hyperlink" Target="http://soliletsk.ru/po-protivodejstviyu-zloupotrebleniyu-narkoticheskimi-sredstvami-i-ix-nezakonnomu-oborotu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3C8B-74D8-4BE0-98F3-C8E9F1C9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1</Pages>
  <Words>21431</Words>
  <Characters>122157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Сапожкова</dc:creator>
  <cp:lastModifiedBy>Сапожкова</cp:lastModifiedBy>
  <cp:revision>363</cp:revision>
  <cp:lastPrinted>2020-11-19T05:35:00Z</cp:lastPrinted>
  <dcterms:created xsi:type="dcterms:W3CDTF">2017-11-10T07:31:00Z</dcterms:created>
  <dcterms:modified xsi:type="dcterms:W3CDTF">2020-11-19T11:52:00Z</dcterms:modified>
</cp:coreProperties>
</file>